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4787" w14:textId="77777777" w:rsidR="000E7240" w:rsidRPr="005716F6" w:rsidRDefault="00000000">
      <w:pPr>
        <w:pStyle w:val="Encabezadonotadeprensa"/>
        <w:rPr>
          <w:b w:val="0"/>
          <w:lang w:val="pt-PT"/>
        </w:rPr>
      </w:pPr>
      <w:r w:rsidRPr="00BA4F4D">
        <w:rPr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6B33E" wp14:editId="668EF408">
                <wp:simplePos x="0" y="0"/>
                <wp:positionH relativeFrom="column">
                  <wp:posOffset>5715</wp:posOffset>
                </wp:positionH>
                <wp:positionV relativeFrom="paragraph">
                  <wp:posOffset>144145</wp:posOffset>
                </wp:positionV>
                <wp:extent cx="16002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Conector recto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aec3 [3204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" from=".45pt,11.35pt" to="126.45pt,11.35pt" w14:anchorId="6F72F029">
                <v:stroke joinstyle="miter"/>
              </v:line>
            </w:pict>
          </mc:Fallback>
        </mc:AlternateContent>
      </w:r>
      <w:r w:rsidRPr="00BA4F4D">
        <w:rPr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C768F" wp14:editId="597BB9AF">
                <wp:simplePos x="0" y="0"/>
                <wp:positionH relativeFrom="margin">
                  <wp:posOffset>3799840</wp:posOffset>
                </wp:positionH>
                <wp:positionV relativeFrom="paragraph">
                  <wp:posOffset>142240</wp:posOffset>
                </wp:positionV>
                <wp:extent cx="16002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Conector recto 4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aec3 [3204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" from="299.2pt,11.2pt" to="425.2pt,11.2pt" w14:anchorId="4C2A6C5D">
                <v:stroke joinstyle="miter"/>
                <w10:wrap anchorx="margin"/>
              </v:line>
            </w:pict>
          </mc:Fallback>
        </mc:AlternateContent>
      </w:r>
      <w:r w:rsidR="00387DD8" w:rsidRPr="005716F6">
        <w:rPr>
          <w:lang w:val="pt-PT"/>
        </w:rPr>
        <w:t xml:space="preserve">Comunicado de </w:t>
      </w:r>
      <w:r w:rsidR="00367384" w:rsidRPr="005716F6">
        <w:rPr>
          <w:lang w:val="pt-PT"/>
        </w:rPr>
        <w:t xml:space="preserve">imprensa </w:t>
      </w:r>
    </w:p>
    <w:p w14:paraId="2122E73A" w14:textId="43AA24FD" w:rsidR="000E7240" w:rsidRPr="005716F6" w:rsidRDefault="00000000">
      <w:pPr>
        <w:pStyle w:val="Enumeracintitulares"/>
        <w:numPr>
          <w:ilvl w:val="0"/>
          <w:numId w:val="0"/>
        </w:numPr>
        <w:jc w:val="center"/>
        <w:rPr>
          <w:sz w:val="30"/>
          <w:szCs w:val="30"/>
          <w:lang w:val="pt-PT"/>
        </w:rPr>
      </w:pPr>
      <w:r w:rsidRPr="005716F6">
        <w:rPr>
          <w:sz w:val="30"/>
          <w:szCs w:val="30"/>
          <w:lang w:val="pt-PT"/>
        </w:rPr>
        <w:t>IBERO-AMÉRICA INVESTE APENAS 0,73%</w:t>
      </w:r>
    </w:p>
    <w:p w14:paraId="530D6619" w14:textId="5554FB17" w:rsidR="000E7240" w:rsidRPr="005716F6" w:rsidRDefault="00000000">
      <w:pPr>
        <w:pStyle w:val="Enumeracintitulares"/>
        <w:numPr>
          <w:ilvl w:val="0"/>
          <w:numId w:val="0"/>
        </w:numPr>
        <w:jc w:val="center"/>
        <w:rPr>
          <w:sz w:val="30"/>
          <w:szCs w:val="30"/>
          <w:lang w:val="pt-PT"/>
        </w:rPr>
      </w:pPr>
      <w:r w:rsidRPr="005716F6">
        <w:rPr>
          <w:sz w:val="30"/>
          <w:szCs w:val="30"/>
          <w:lang w:val="pt-PT"/>
        </w:rPr>
        <w:t xml:space="preserve">DOS RECURSOS </w:t>
      </w:r>
      <w:r w:rsidR="005716F6">
        <w:rPr>
          <w:sz w:val="30"/>
          <w:szCs w:val="30"/>
          <w:lang w:val="pt-PT"/>
        </w:rPr>
        <w:t>ECONÓMICOS</w:t>
      </w:r>
    </w:p>
    <w:p w14:paraId="4412B89B" w14:textId="77777777" w:rsidR="000E7240" w:rsidRPr="005716F6" w:rsidRDefault="00000000">
      <w:pPr>
        <w:pStyle w:val="Enumeracintitulares"/>
        <w:numPr>
          <w:ilvl w:val="0"/>
          <w:numId w:val="0"/>
        </w:numPr>
        <w:jc w:val="center"/>
        <w:rPr>
          <w:sz w:val="30"/>
          <w:szCs w:val="30"/>
          <w:lang w:val="pt-PT"/>
        </w:rPr>
      </w:pPr>
      <w:r w:rsidRPr="005716F6">
        <w:rPr>
          <w:sz w:val="30"/>
          <w:szCs w:val="30"/>
          <w:lang w:val="pt-PT"/>
        </w:rPr>
        <w:t>EM INVESTIGAÇÃO E DESENVOLVIMENTO</w:t>
      </w:r>
    </w:p>
    <w:p w14:paraId="1D40DEE3" w14:textId="4C96AD64" w:rsidR="000E7240" w:rsidRPr="005716F6" w:rsidRDefault="00000000">
      <w:pPr>
        <w:pStyle w:val="Cuerpodetexto"/>
        <w:numPr>
          <w:ilvl w:val="0"/>
          <w:numId w:val="8"/>
        </w:numPr>
        <w:rPr>
          <w:b/>
          <w:bCs/>
          <w:color w:val="000000"/>
          <w:lang w:val="pt-PT"/>
        </w:rPr>
      </w:pPr>
      <w:r w:rsidRPr="005716F6">
        <w:rPr>
          <w:b/>
          <w:bCs/>
          <w:color w:val="000000"/>
          <w:lang w:val="pt-PT"/>
        </w:rPr>
        <w:t>Em 2022</w:t>
      </w:r>
      <w:r w:rsidR="00C878F0" w:rsidRPr="005716F6">
        <w:rPr>
          <w:b/>
          <w:bCs/>
          <w:color w:val="000000"/>
          <w:lang w:val="pt-PT"/>
        </w:rPr>
        <w:t xml:space="preserve">, </w:t>
      </w:r>
      <w:r w:rsidRPr="005716F6">
        <w:rPr>
          <w:b/>
          <w:bCs/>
          <w:color w:val="000000"/>
          <w:lang w:val="pt-PT"/>
        </w:rPr>
        <w:t xml:space="preserve">os países da Ibero-América </w:t>
      </w:r>
      <w:r w:rsidR="005716F6">
        <w:rPr>
          <w:b/>
          <w:bCs/>
          <w:color w:val="000000"/>
          <w:lang w:val="pt-PT"/>
        </w:rPr>
        <w:t>destinaram</w:t>
      </w:r>
      <w:r w:rsidRPr="005716F6">
        <w:rPr>
          <w:b/>
          <w:bCs/>
          <w:color w:val="000000"/>
          <w:lang w:val="pt-PT"/>
        </w:rPr>
        <w:t xml:space="preserve"> 1</w:t>
      </w:r>
      <w:r w:rsidR="00BE3679">
        <w:rPr>
          <w:b/>
          <w:bCs/>
          <w:color w:val="000000"/>
          <w:lang w:val="pt-PT"/>
        </w:rPr>
        <w:t>1</w:t>
      </w:r>
      <w:r w:rsidRPr="005716F6">
        <w:rPr>
          <w:b/>
          <w:bCs/>
          <w:color w:val="000000"/>
          <w:lang w:val="pt-PT"/>
        </w:rPr>
        <w:t xml:space="preserve">6 mil milhões de dólares à investigação e desenvolvimento, um aumento de 42% em relação a 2013. </w:t>
      </w:r>
    </w:p>
    <w:p w14:paraId="5CB3765E" w14:textId="58E7B64A" w:rsidR="000E7240" w:rsidRPr="005716F6" w:rsidRDefault="00000000">
      <w:pPr>
        <w:pStyle w:val="Cuerpodetexto"/>
        <w:numPr>
          <w:ilvl w:val="0"/>
          <w:numId w:val="8"/>
        </w:numPr>
        <w:rPr>
          <w:b/>
          <w:bCs/>
          <w:color w:val="000000"/>
          <w:lang w:val="pt-PT"/>
        </w:rPr>
      </w:pPr>
      <w:r w:rsidRPr="005716F6">
        <w:rPr>
          <w:b/>
          <w:bCs/>
          <w:color w:val="000000"/>
          <w:lang w:val="pt-PT"/>
        </w:rPr>
        <w:t xml:space="preserve">No entanto, em </w:t>
      </w:r>
      <w:r w:rsidR="005716F6">
        <w:rPr>
          <w:b/>
          <w:bCs/>
          <w:color w:val="000000"/>
          <w:lang w:val="pt-PT"/>
        </w:rPr>
        <w:t>termos de PIB</w:t>
      </w:r>
      <w:r w:rsidRPr="005716F6">
        <w:rPr>
          <w:b/>
          <w:bCs/>
          <w:color w:val="000000"/>
          <w:lang w:val="pt-PT"/>
        </w:rPr>
        <w:t>, o esforço de investimento realizado em 2022 pela Ibero-América representou 0,73% do produto bruto regional. Se</w:t>
      </w:r>
      <w:r w:rsidR="005716F6">
        <w:rPr>
          <w:b/>
          <w:bCs/>
          <w:color w:val="000000"/>
          <w:lang w:val="pt-PT"/>
        </w:rPr>
        <w:t xml:space="preserve"> tivermos em conta</w:t>
      </w:r>
      <w:r w:rsidRPr="005716F6">
        <w:rPr>
          <w:b/>
          <w:bCs/>
          <w:color w:val="000000"/>
          <w:lang w:val="pt-PT"/>
        </w:rPr>
        <w:t xml:space="preserve"> apenas a América Latina, o valor é reduzido para 0,56%</w:t>
      </w:r>
      <w:r w:rsidR="006421A0" w:rsidRPr="005716F6">
        <w:rPr>
          <w:b/>
          <w:bCs/>
          <w:color w:val="000000"/>
          <w:lang w:val="pt-PT"/>
        </w:rPr>
        <w:t xml:space="preserve">. </w:t>
      </w:r>
    </w:p>
    <w:p w14:paraId="6BD0CE0F" w14:textId="52224F06" w:rsidR="000E7240" w:rsidRPr="005716F6" w:rsidRDefault="00000000">
      <w:pPr>
        <w:pStyle w:val="Cuerpodetexto"/>
        <w:numPr>
          <w:ilvl w:val="0"/>
          <w:numId w:val="8"/>
        </w:numPr>
        <w:rPr>
          <w:lang w:val="pt-PT"/>
        </w:rPr>
      </w:pPr>
      <w:r w:rsidRPr="005716F6">
        <w:rPr>
          <w:b/>
          <w:bCs/>
          <w:color w:val="000000"/>
          <w:lang w:val="pt-PT"/>
        </w:rPr>
        <w:t xml:space="preserve">Estes </w:t>
      </w:r>
      <w:r w:rsidR="00C878F0" w:rsidRPr="005716F6">
        <w:rPr>
          <w:b/>
          <w:bCs/>
          <w:color w:val="000000"/>
          <w:lang w:val="pt-PT"/>
        </w:rPr>
        <w:t xml:space="preserve">e outros </w:t>
      </w:r>
      <w:r w:rsidRPr="005716F6">
        <w:rPr>
          <w:b/>
          <w:bCs/>
          <w:color w:val="000000"/>
          <w:lang w:val="pt-PT"/>
        </w:rPr>
        <w:t xml:space="preserve">dados podem ser consultados </w:t>
      </w:r>
      <w:r w:rsidR="005716F6">
        <w:rPr>
          <w:b/>
          <w:bCs/>
          <w:color w:val="000000"/>
          <w:lang w:val="pt-PT"/>
        </w:rPr>
        <w:t>em</w:t>
      </w:r>
      <w:r w:rsidRPr="005716F6">
        <w:rPr>
          <w:b/>
          <w:bCs/>
          <w:color w:val="000000"/>
          <w:lang w:val="pt-PT"/>
        </w:rPr>
        <w:t xml:space="preserve"> </w:t>
      </w:r>
      <w:r w:rsidR="00E00BCB" w:rsidRPr="00E00BCB">
        <w:rPr>
          <w:b/>
          <w:bCs/>
          <w:i/>
          <w:iCs/>
          <w:color w:val="000000"/>
          <w:lang w:val="pt-PT"/>
        </w:rPr>
        <w:t>El</w:t>
      </w:r>
      <w:r w:rsidR="005716F6">
        <w:rPr>
          <w:b/>
          <w:bCs/>
          <w:i/>
          <w:iCs/>
          <w:color w:val="000000"/>
          <w:lang w:val="pt-PT"/>
        </w:rPr>
        <w:t xml:space="preserve"> </w:t>
      </w:r>
      <w:r w:rsidRPr="005716F6">
        <w:rPr>
          <w:b/>
          <w:bCs/>
          <w:i/>
          <w:iCs/>
          <w:color w:val="000000"/>
          <w:lang w:val="pt-PT"/>
        </w:rPr>
        <w:t>Estado d</w:t>
      </w:r>
      <w:r w:rsidR="00E00BCB">
        <w:rPr>
          <w:b/>
          <w:bCs/>
          <w:i/>
          <w:iCs/>
          <w:color w:val="000000"/>
          <w:lang w:val="pt-PT"/>
        </w:rPr>
        <w:t>e la</w:t>
      </w:r>
      <w:r w:rsidRPr="005716F6">
        <w:rPr>
          <w:b/>
          <w:bCs/>
          <w:i/>
          <w:iCs/>
          <w:color w:val="000000"/>
          <w:lang w:val="pt-PT"/>
        </w:rPr>
        <w:t xml:space="preserve"> Ci</w:t>
      </w:r>
      <w:r w:rsidR="00E00BCB">
        <w:rPr>
          <w:b/>
          <w:bCs/>
          <w:i/>
          <w:iCs/>
          <w:color w:val="000000"/>
          <w:lang w:val="pt-PT"/>
        </w:rPr>
        <w:t>e</w:t>
      </w:r>
      <w:r w:rsidRPr="005716F6">
        <w:rPr>
          <w:b/>
          <w:bCs/>
          <w:i/>
          <w:iCs/>
          <w:color w:val="000000"/>
          <w:lang w:val="pt-PT"/>
        </w:rPr>
        <w:t>ncia 2024</w:t>
      </w:r>
      <w:r w:rsidRPr="005716F6">
        <w:rPr>
          <w:b/>
          <w:bCs/>
          <w:color w:val="000000"/>
          <w:lang w:val="pt-PT"/>
        </w:rPr>
        <w:t xml:space="preserve">, </w:t>
      </w:r>
      <w:r w:rsidR="005716F6">
        <w:rPr>
          <w:b/>
          <w:bCs/>
          <w:color w:val="000000"/>
          <w:lang w:val="pt-PT"/>
        </w:rPr>
        <w:t xml:space="preserve">o relatório </w:t>
      </w:r>
      <w:r w:rsidRPr="005716F6">
        <w:rPr>
          <w:b/>
          <w:bCs/>
          <w:color w:val="000000"/>
          <w:lang w:val="pt-PT"/>
        </w:rPr>
        <w:t xml:space="preserve">anual </w:t>
      </w:r>
      <w:r w:rsidR="00C878F0" w:rsidRPr="005716F6">
        <w:rPr>
          <w:b/>
          <w:bCs/>
          <w:color w:val="000000"/>
          <w:lang w:val="pt-PT"/>
        </w:rPr>
        <w:t xml:space="preserve">da Rede Ibero-Americana de Indicadores de Ciência e Tecnologia </w:t>
      </w:r>
      <w:r w:rsidRPr="005716F6">
        <w:rPr>
          <w:b/>
          <w:bCs/>
          <w:color w:val="000000"/>
          <w:lang w:val="pt-PT"/>
        </w:rPr>
        <w:t>(RICYT</w:t>
      </w:r>
      <w:r w:rsidR="00C878F0" w:rsidRPr="005716F6">
        <w:rPr>
          <w:b/>
          <w:bCs/>
          <w:color w:val="000000"/>
          <w:lang w:val="pt-PT"/>
        </w:rPr>
        <w:t>)</w:t>
      </w:r>
      <w:r w:rsidRPr="005716F6">
        <w:rPr>
          <w:b/>
          <w:bCs/>
          <w:color w:val="000000"/>
          <w:lang w:val="pt-PT"/>
        </w:rPr>
        <w:t xml:space="preserve">, publicado pela OEI e pela </w:t>
      </w:r>
      <w:r w:rsidR="00C878F0" w:rsidRPr="005716F6">
        <w:rPr>
          <w:b/>
          <w:bCs/>
          <w:color w:val="000000"/>
          <w:lang w:val="pt-PT"/>
        </w:rPr>
        <w:t>UNESCO</w:t>
      </w:r>
      <w:r w:rsidRPr="005716F6">
        <w:rPr>
          <w:b/>
          <w:bCs/>
          <w:color w:val="000000"/>
          <w:lang w:val="pt-PT"/>
        </w:rPr>
        <w:t>.</w:t>
      </w:r>
    </w:p>
    <w:p w14:paraId="0DC4A2E7" w14:textId="77777777" w:rsidR="005A3E46" w:rsidRPr="005716F6" w:rsidRDefault="005A3E46" w:rsidP="005A3E46">
      <w:pPr>
        <w:pStyle w:val="Cuerpodetexto"/>
        <w:ind w:left="720"/>
        <w:rPr>
          <w:lang w:val="pt-PT"/>
        </w:rPr>
      </w:pPr>
    </w:p>
    <w:p w14:paraId="447E1474" w14:textId="558D09A4" w:rsidR="000E7240" w:rsidRPr="005716F6" w:rsidRDefault="00000000">
      <w:pPr>
        <w:pStyle w:val="Cuerpodetexto"/>
        <w:rPr>
          <w:rStyle w:val="CuerpodetextoCar"/>
          <w:lang w:val="pt-PT"/>
        </w:rPr>
      </w:pPr>
      <w:r w:rsidRPr="005716F6">
        <w:rPr>
          <w:b/>
          <w:bCs/>
          <w:lang w:val="pt-PT"/>
        </w:rPr>
        <w:t xml:space="preserve">Buenos Aires, 17 de dezembro de 2024 </w:t>
      </w:r>
      <w:r w:rsidR="00B65BBD" w:rsidRPr="005716F6">
        <w:rPr>
          <w:lang w:val="pt-PT"/>
        </w:rPr>
        <w:t xml:space="preserve">- </w:t>
      </w:r>
      <w:r w:rsidRPr="005716F6">
        <w:rPr>
          <w:rStyle w:val="CuerpodetextoCar"/>
          <w:lang w:val="pt-PT"/>
        </w:rPr>
        <w:t xml:space="preserve">Em 2022, a Ibero-América investiu menos de 1% dos recursos económicos em investigação e desenvolvimento (I&amp;D). Este é o resultado da compilação estatística disponível em </w:t>
      </w:r>
      <w:r w:rsidR="00DD1C22">
        <w:fldChar w:fldCharType="begin"/>
      </w:r>
      <w:r w:rsidR="00DD1C22" w:rsidRPr="00BE3679">
        <w:rPr>
          <w:lang w:val="pt-BR"/>
        </w:rPr>
        <w:instrText>HYPERLINK "https://oei.int/oficinas/argentina/publicaciones/el-estado-de-la-ciencia-principales-indicadores-de-ciencia-y-tecnologia-iberoamericanos-interamericanos-2024/"</w:instrText>
      </w:r>
      <w:r w:rsidR="00DD1C22">
        <w:fldChar w:fldCharType="separate"/>
      </w:r>
      <w:r w:rsidR="00DD1C22" w:rsidRPr="00C57A96">
        <w:rPr>
          <w:rStyle w:val="Hipervnculo"/>
          <w:b/>
          <w:bCs/>
          <w:i/>
          <w:iCs/>
          <w:lang w:val="pt-PT"/>
        </w:rPr>
        <w:t>El</w:t>
      </w:r>
      <w:r w:rsidR="005716F6" w:rsidRPr="00C57A96">
        <w:rPr>
          <w:rStyle w:val="Hipervnculo"/>
          <w:b/>
          <w:bCs/>
          <w:i/>
          <w:iCs/>
          <w:lang w:val="pt-PT"/>
        </w:rPr>
        <w:t xml:space="preserve"> Estado d</w:t>
      </w:r>
      <w:r w:rsidR="00E00BCB" w:rsidRPr="00C57A96">
        <w:rPr>
          <w:rStyle w:val="Hipervnculo"/>
          <w:b/>
          <w:bCs/>
          <w:i/>
          <w:iCs/>
          <w:lang w:val="pt-PT"/>
        </w:rPr>
        <w:t>e la</w:t>
      </w:r>
      <w:r w:rsidR="005716F6" w:rsidRPr="00C57A96">
        <w:rPr>
          <w:rStyle w:val="Hipervnculo"/>
          <w:b/>
          <w:bCs/>
          <w:i/>
          <w:iCs/>
          <w:lang w:val="pt-PT"/>
        </w:rPr>
        <w:t xml:space="preserve"> </w:t>
      </w:r>
      <w:proofErr w:type="spellStart"/>
      <w:r w:rsidR="005716F6" w:rsidRPr="00C57A96">
        <w:rPr>
          <w:rStyle w:val="Hipervnculo"/>
          <w:b/>
          <w:bCs/>
          <w:i/>
          <w:iCs/>
          <w:lang w:val="pt-PT"/>
        </w:rPr>
        <w:t>Ci</w:t>
      </w:r>
      <w:r w:rsidR="00DD1C22" w:rsidRPr="00C57A96">
        <w:rPr>
          <w:rStyle w:val="Hipervnculo"/>
          <w:b/>
          <w:bCs/>
          <w:i/>
          <w:iCs/>
          <w:lang w:val="pt-PT"/>
        </w:rPr>
        <w:t>e</w:t>
      </w:r>
      <w:r w:rsidR="005716F6" w:rsidRPr="00C57A96">
        <w:rPr>
          <w:rStyle w:val="Hipervnculo"/>
          <w:b/>
          <w:bCs/>
          <w:i/>
          <w:iCs/>
          <w:lang w:val="pt-PT"/>
        </w:rPr>
        <w:t>ncia</w:t>
      </w:r>
      <w:proofErr w:type="spellEnd"/>
      <w:r w:rsidR="005716F6" w:rsidRPr="00C57A96">
        <w:rPr>
          <w:rStyle w:val="Hipervnculo"/>
          <w:b/>
          <w:bCs/>
          <w:i/>
          <w:iCs/>
          <w:lang w:val="pt-PT"/>
        </w:rPr>
        <w:t xml:space="preserve"> 2024</w:t>
      </w:r>
      <w:r w:rsidR="00DD1C22">
        <w:rPr>
          <w:rStyle w:val="Hipervnculo"/>
          <w:b/>
          <w:bCs/>
          <w:i/>
          <w:iCs/>
          <w:lang w:val="pt-PT"/>
        </w:rPr>
        <w:fldChar w:fldCharType="end"/>
      </w:r>
      <w:r w:rsidRPr="00C57A96">
        <w:rPr>
          <w:rStyle w:val="CuerpodetextoCar"/>
          <w:lang w:val="pt-PT"/>
        </w:rPr>
        <w:t>,</w:t>
      </w:r>
      <w:r w:rsidRPr="005716F6">
        <w:rPr>
          <w:rStyle w:val="CuerpodetextoCar"/>
          <w:lang w:val="pt-PT"/>
        </w:rPr>
        <w:t xml:space="preserve"> uma</w:t>
      </w:r>
      <w:r w:rsidRPr="005716F6">
        <w:rPr>
          <w:rStyle w:val="CuerpodetextoCar"/>
          <w:b/>
          <w:bCs/>
          <w:i/>
          <w:iCs/>
          <w:lang w:val="pt-PT"/>
        </w:rPr>
        <w:t xml:space="preserve"> </w:t>
      </w:r>
      <w:r w:rsidRPr="005716F6">
        <w:rPr>
          <w:rStyle w:val="CuerpodetextoCar"/>
          <w:lang w:val="pt-PT"/>
        </w:rPr>
        <w:t xml:space="preserve">publicação anual da Rede Ibero-Americana de Indicadores de Ciência e Tecnologia (RICYT), </w:t>
      </w:r>
      <w:r w:rsidR="005716F6">
        <w:rPr>
          <w:rStyle w:val="CuerpodetextoCar"/>
          <w:lang w:val="pt-PT"/>
        </w:rPr>
        <w:t>coeditada</w:t>
      </w:r>
      <w:r w:rsidRPr="005716F6">
        <w:rPr>
          <w:rStyle w:val="CuerpodetextoCar"/>
          <w:lang w:val="pt-PT"/>
        </w:rPr>
        <w:t xml:space="preserve"> pela Organização </w:t>
      </w:r>
      <w:r w:rsidR="005716F6">
        <w:rPr>
          <w:rStyle w:val="CuerpodetextoCar"/>
          <w:lang w:val="pt-PT"/>
        </w:rPr>
        <w:t>de</w:t>
      </w:r>
      <w:r w:rsidRPr="005716F6">
        <w:rPr>
          <w:rStyle w:val="CuerpodetextoCar"/>
          <w:lang w:val="pt-PT"/>
        </w:rPr>
        <w:t xml:space="preserve"> Estados Ibero-Americanos </w:t>
      </w:r>
      <w:r w:rsidR="00C878F0" w:rsidRPr="005716F6">
        <w:rPr>
          <w:rStyle w:val="CuerpodetextoCar"/>
          <w:lang w:val="pt-PT"/>
        </w:rPr>
        <w:t xml:space="preserve">para a Educação, Ciência e Cultura </w:t>
      </w:r>
      <w:r w:rsidRPr="005716F6">
        <w:rPr>
          <w:rStyle w:val="CuerpodetextoCar"/>
          <w:lang w:val="pt-PT"/>
        </w:rPr>
        <w:t xml:space="preserve">(OEI) - através do seu Observatório Ibero-Americano de Ciência, Tecnologia e Sociedade (OCTS) - e pela </w:t>
      </w:r>
      <w:r w:rsidR="0070196E">
        <w:rPr>
          <w:rStyle w:val="CuerpodetextoCar"/>
          <w:lang w:val="pt-PT"/>
        </w:rPr>
        <w:t>UNESCO</w:t>
      </w:r>
      <w:r w:rsidRPr="005716F6">
        <w:rPr>
          <w:rStyle w:val="CuerpodetextoCar"/>
          <w:lang w:val="pt-PT"/>
        </w:rPr>
        <w:t>.</w:t>
      </w:r>
    </w:p>
    <w:p w14:paraId="3905199E" w14:textId="0D0531AA" w:rsidR="000E7240" w:rsidRPr="005716F6" w:rsidRDefault="00000000">
      <w:pPr>
        <w:pStyle w:val="Cuerpodetexto"/>
        <w:rPr>
          <w:rStyle w:val="CuerpodetextoCar"/>
          <w:lang w:val="pt-PT"/>
        </w:rPr>
      </w:pPr>
      <w:r w:rsidRPr="005716F6">
        <w:rPr>
          <w:rStyle w:val="CuerpodetextoCar"/>
          <w:lang w:val="pt-PT"/>
        </w:rPr>
        <w:t xml:space="preserve">De acordo com a publicação, </w:t>
      </w:r>
      <w:r w:rsidR="003E3CD5" w:rsidRPr="005716F6">
        <w:rPr>
          <w:rStyle w:val="CuerpodetextoCar"/>
          <w:lang w:val="pt-PT"/>
        </w:rPr>
        <w:t xml:space="preserve">em 2022 os países da Ibero-América destinaram 116 mil milhões de dólares à I&amp;D. Embora isso tenha representado um crescimento em relação ao que foi investido há uma década, </w:t>
      </w:r>
      <w:r w:rsidR="005716F6">
        <w:rPr>
          <w:rStyle w:val="CuerpodetextoCar"/>
          <w:lang w:val="pt-PT"/>
        </w:rPr>
        <w:t>relativamente ao</w:t>
      </w:r>
      <w:r w:rsidR="003E3CD5" w:rsidRPr="005716F6">
        <w:rPr>
          <w:rStyle w:val="CuerpodetextoCar"/>
          <w:lang w:val="pt-PT"/>
        </w:rPr>
        <w:t xml:space="preserve"> PIB, o esforço de investimento nesse ano representou </w:t>
      </w:r>
      <w:r w:rsidRPr="005716F6">
        <w:rPr>
          <w:rStyle w:val="CuerpodetextoCar"/>
          <w:lang w:val="pt-PT"/>
        </w:rPr>
        <w:t xml:space="preserve">apenas </w:t>
      </w:r>
      <w:r w:rsidR="003E3CD5" w:rsidRPr="005716F6">
        <w:rPr>
          <w:rStyle w:val="CuerpodetextoCar"/>
          <w:lang w:val="pt-PT"/>
        </w:rPr>
        <w:t xml:space="preserve">0,73% do produto regional bruto. </w:t>
      </w:r>
      <w:r w:rsidR="003E3CD5" w:rsidRPr="005716F6">
        <w:rPr>
          <w:rStyle w:val="CuerpodetextoCar"/>
          <w:b/>
          <w:bCs/>
          <w:lang w:val="pt-PT"/>
        </w:rPr>
        <w:t xml:space="preserve">Esta </w:t>
      </w:r>
      <w:r w:rsidR="0070196E">
        <w:rPr>
          <w:rStyle w:val="CuerpodetextoCar"/>
          <w:b/>
          <w:bCs/>
          <w:lang w:val="pt-PT"/>
        </w:rPr>
        <w:t>tendência</w:t>
      </w:r>
      <w:r w:rsidR="003E3CD5" w:rsidRPr="005716F6">
        <w:rPr>
          <w:rStyle w:val="CuerpodetextoCar"/>
          <w:b/>
          <w:bCs/>
          <w:lang w:val="pt-PT"/>
        </w:rPr>
        <w:t xml:space="preserve"> tem-se mantido relativamente estável desde 2013. Se considerarmos apenas os países da América Latina, o rácio desce para 0,56%.</w:t>
      </w:r>
      <w:r w:rsidR="003E3CD5" w:rsidRPr="005716F6">
        <w:rPr>
          <w:rStyle w:val="CuerpodetextoCar"/>
          <w:lang w:val="pt-PT"/>
        </w:rPr>
        <w:t xml:space="preserve"> O Brasil é o único país latino-americano cujo investimento representa mais de 1% do seu PIB. A América Latina e as Caraíbas (ALC) caracteriza</w:t>
      </w:r>
      <w:r w:rsidR="005716F6">
        <w:rPr>
          <w:rStyle w:val="CuerpodetextoCar"/>
          <w:lang w:val="pt-PT"/>
        </w:rPr>
        <w:t>m</w:t>
      </w:r>
      <w:r w:rsidR="003E3CD5" w:rsidRPr="005716F6">
        <w:rPr>
          <w:rStyle w:val="CuerpodetextoCar"/>
          <w:lang w:val="pt-PT"/>
        </w:rPr>
        <w:t xml:space="preserve">-se igualmente por um fenómeno de concentração em que </w:t>
      </w:r>
      <w:r w:rsidR="003E3CD5" w:rsidRPr="005716F6">
        <w:rPr>
          <w:rStyle w:val="CuerpodetextoCar"/>
          <w:b/>
          <w:bCs/>
          <w:lang w:val="pt-PT"/>
        </w:rPr>
        <w:t>o Brasil, o México e a Argentina representam 83% do seu investimento total.</w:t>
      </w:r>
    </w:p>
    <w:p w14:paraId="13B48683" w14:textId="278CAC67" w:rsidR="000E7240" w:rsidRPr="005716F6" w:rsidRDefault="00000000">
      <w:pPr>
        <w:pStyle w:val="Cuerpodetexto"/>
        <w:rPr>
          <w:rStyle w:val="CuerpodetextoCar"/>
          <w:lang w:val="pt-PT"/>
        </w:rPr>
      </w:pPr>
      <w:r w:rsidRPr="005716F6">
        <w:rPr>
          <w:rStyle w:val="CuerpodetextoCar"/>
          <w:lang w:val="pt-PT"/>
        </w:rPr>
        <w:t xml:space="preserve">Em comparação com o investimento em I&amp;D de outros blocos geográficos, o conjunto dos países </w:t>
      </w:r>
      <w:r w:rsidRPr="005716F6">
        <w:rPr>
          <w:rStyle w:val="CuerpodetextoCar"/>
          <w:b/>
          <w:bCs/>
          <w:lang w:val="pt-PT"/>
        </w:rPr>
        <w:t>da América Latina representou 2,5% do montante investido no mundo em 2022, enquanto a Ibero-América representou 4%.</w:t>
      </w:r>
      <w:r w:rsidRPr="005716F6">
        <w:rPr>
          <w:rStyle w:val="CuerpodetextoCar"/>
          <w:lang w:val="pt-PT"/>
        </w:rPr>
        <w:t xml:space="preserve"> Em ambos os casos, o peso relativo no total dos recursos </w:t>
      </w:r>
      <w:r w:rsidR="00634B20">
        <w:rPr>
          <w:rStyle w:val="CuerpodetextoCar"/>
          <w:lang w:val="pt-PT"/>
        </w:rPr>
        <w:t>dirigidos</w:t>
      </w:r>
      <w:r w:rsidRPr="005716F6">
        <w:rPr>
          <w:rStyle w:val="CuerpodetextoCar"/>
          <w:lang w:val="pt-PT"/>
        </w:rPr>
        <w:t xml:space="preserve"> à I&amp;D diminuiu face aos níveis de 2013, </w:t>
      </w:r>
      <w:r w:rsidR="00634B20">
        <w:rPr>
          <w:rStyle w:val="CuerpodetextoCar"/>
          <w:lang w:val="pt-PT"/>
        </w:rPr>
        <w:t xml:space="preserve">na </w:t>
      </w:r>
      <w:r w:rsidR="00634B20">
        <w:rPr>
          <w:rStyle w:val="CuerpodetextoCar"/>
          <w:lang w:val="pt-PT"/>
        </w:rPr>
        <w:lastRenderedPageBreak/>
        <w:t>sequência</w:t>
      </w:r>
      <w:r w:rsidRPr="005716F6">
        <w:rPr>
          <w:rStyle w:val="CuerpodetextoCar"/>
          <w:lang w:val="pt-PT"/>
        </w:rPr>
        <w:t xml:space="preserve"> do crescimento dos países asiáticos. A Ásia é </w:t>
      </w:r>
      <w:r w:rsidR="00634B20">
        <w:rPr>
          <w:rStyle w:val="CuerpodetextoCar"/>
          <w:lang w:val="pt-PT"/>
        </w:rPr>
        <w:t xml:space="preserve">a região </w:t>
      </w:r>
      <w:r w:rsidRPr="005716F6">
        <w:rPr>
          <w:rStyle w:val="CuerpodetextoCar"/>
          <w:lang w:val="pt-PT"/>
        </w:rPr>
        <w:t>que mais investe em I&amp;D, representando 37,4% do investimento global em 2022.</w:t>
      </w:r>
    </w:p>
    <w:p w14:paraId="0F990757" w14:textId="116A81DF" w:rsidR="000E7240" w:rsidRPr="005716F6" w:rsidRDefault="00000000">
      <w:pPr>
        <w:pStyle w:val="Cuerpodetexto"/>
        <w:rPr>
          <w:rStyle w:val="CuerpodetextoCar"/>
          <w:lang w:val="pt-PT"/>
        </w:rPr>
      </w:pPr>
      <w:r w:rsidRPr="005716F6">
        <w:rPr>
          <w:rStyle w:val="CuerpodetextoCar"/>
          <w:lang w:val="pt-PT"/>
        </w:rPr>
        <w:t>Apesar da estagnação do investimento, o número de cientistas cresceu consideravelmente na região durante a última década. O número de investigadores e bolseiros de investigação a tempo inteiro aumentou de 442</w:t>
      </w:r>
      <w:r w:rsidR="00634B20">
        <w:rPr>
          <w:rStyle w:val="CuerpodetextoCar"/>
          <w:lang w:val="pt-PT"/>
        </w:rPr>
        <w:t>.</w:t>
      </w:r>
      <w:r w:rsidRPr="005716F6">
        <w:rPr>
          <w:rStyle w:val="CuerpodetextoCar"/>
          <w:lang w:val="pt-PT"/>
        </w:rPr>
        <w:t>835 em 2013 para 642</w:t>
      </w:r>
      <w:r w:rsidR="00634B20">
        <w:rPr>
          <w:rStyle w:val="CuerpodetextoCar"/>
          <w:lang w:val="pt-PT"/>
        </w:rPr>
        <w:t>.</w:t>
      </w:r>
      <w:r w:rsidRPr="005716F6">
        <w:rPr>
          <w:rStyle w:val="CuerpodetextoCar"/>
          <w:lang w:val="pt-PT"/>
        </w:rPr>
        <w:t xml:space="preserve">383 investigadores em 2022. Considerando a distribuição dos recursos humanos de acordo com o setor onde desempenham as suas funções, o setor do ensino superior é o mais significativo para a região, </w:t>
      </w:r>
      <w:r w:rsidR="00634B20">
        <w:rPr>
          <w:rStyle w:val="CuerpodetextoCar"/>
          <w:lang w:val="pt-PT"/>
        </w:rPr>
        <w:t>sendo que</w:t>
      </w:r>
      <w:r w:rsidRPr="005716F6">
        <w:rPr>
          <w:rStyle w:val="CuerpodetextoCar"/>
          <w:b/>
          <w:bCs/>
          <w:lang w:val="pt-PT"/>
        </w:rPr>
        <w:t xml:space="preserve">, em 2022, 46% dos investigadores ibero-americanos realizaram as suas atividades </w:t>
      </w:r>
      <w:r w:rsidR="00634B20">
        <w:rPr>
          <w:rStyle w:val="CuerpodetextoCar"/>
          <w:b/>
          <w:bCs/>
          <w:lang w:val="pt-PT"/>
        </w:rPr>
        <w:t>no âmbito universitário</w:t>
      </w:r>
      <w:r w:rsidRPr="005716F6">
        <w:rPr>
          <w:rStyle w:val="CuerpodetextoCar"/>
          <w:lang w:val="pt-PT"/>
        </w:rPr>
        <w:t>. Trinta e três por cento dos investigadores</w:t>
      </w:r>
      <w:r w:rsidR="00C878F0" w:rsidRPr="005716F6">
        <w:rPr>
          <w:rStyle w:val="CuerpodetextoCar"/>
          <w:lang w:val="pt-PT"/>
        </w:rPr>
        <w:t xml:space="preserve">, ou seja, um em cada três, </w:t>
      </w:r>
      <w:r w:rsidRPr="005716F6">
        <w:rPr>
          <w:rStyle w:val="CuerpodetextoCar"/>
          <w:lang w:val="pt-PT"/>
        </w:rPr>
        <w:t>trabalha</w:t>
      </w:r>
      <w:r w:rsidR="00634B20">
        <w:rPr>
          <w:rStyle w:val="CuerpodetextoCar"/>
          <w:lang w:val="pt-PT"/>
        </w:rPr>
        <w:t>ram</w:t>
      </w:r>
      <w:r w:rsidRPr="005716F6">
        <w:rPr>
          <w:rStyle w:val="CuerpodetextoCar"/>
          <w:lang w:val="pt-PT"/>
        </w:rPr>
        <w:t xml:space="preserve"> em empresas (públicas e privadas) e 19% em instituições públicas de I&amp;D.</w:t>
      </w:r>
    </w:p>
    <w:p w14:paraId="7CBB4D79" w14:textId="1A9B249A" w:rsidR="000E7240" w:rsidRPr="005716F6" w:rsidRDefault="00000000">
      <w:pPr>
        <w:pStyle w:val="Cuerpodetexto"/>
        <w:rPr>
          <w:rStyle w:val="CuerpodetextoCar"/>
          <w:lang w:val="pt-PT"/>
        </w:rPr>
      </w:pPr>
      <w:r w:rsidRPr="005716F6">
        <w:rPr>
          <w:rStyle w:val="CuerpodetextoCar"/>
          <w:lang w:val="pt-PT"/>
        </w:rPr>
        <w:t xml:space="preserve">A qualidade da produção científica dos investigadores latino-americanos também aumentou nos últimos anos. As publicações científicas de investigadores latino-americanos na base de dados </w:t>
      </w:r>
      <w:proofErr w:type="spellStart"/>
      <w:r w:rsidRPr="005716F6">
        <w:rPr>
          <w:rStyle w:val="CuerpodetextoCar"/>
          <w:lang w:val="pt-PT"/>
        </w:rPr>
        <w:t>Scopus</w:t>
      </w:r>
      <w:proofErr w:type="spellEnd"/>
      <w:r w:rsidRPr="005716F6">
        <w:rPr>
          <w:rStyle w:val="CuerpodetextoCar"/>
          <w:lang w:val="pt-PT"/>
        </w:rPr>
        <w:t xml:space="preserve"> ultrapassaram os 198</w:t>
      </w:r>
      <w:r w:rsidR="00634B20">
        <w:rPr>
          <w:rStyle w:val="CuerpodetextoCar"/>
          <w:lang w:val="pt-PT"/>
        </w:rPr>
        <w:t xml:space="preserve"> mil</w:t>
      </w:r>
      <w:r w:rsidRPr="005716F6">
        <w:rPr>
          <w:rStyle w:val="CuerpodetextoCar"/>
          <w:lang w:val="pt-PT"/>
        </w:rPr>
        <w:t xml:space="preserve"> artigos em 2022, crescendo a um ritmo superior ao do número total de publicações (+64%). </w:t>
      </w:r>
      <w:r w:rsidR="00634B20">
        <w:rPr>
          <w:rStyle w:val="CuerpodetextoCar"/>
          <w:lang w:val="pt-PT"/>
        </w:rPr>
        <w:t>Para a</w:t>
      </w:r>
      <w:r w:rsidRPr="005716F6">
        <w:rPr>
          <w:rStyle w:val="CuerpodetextoCar"/>
          <w:lang w:val="pt-PT"/>
        </w:rPr>
        <w:t>lém disso, 35% dessa produção foi realizada de forma colaborativa por autores de diferentes países. As ciências físicas foram, por sua vez, as disciplinas com maior colaboração internacional.</w:t>
      </w:r>
    </w:p>
    <w:p w14:paraId="389815FD" w14:textId="77FD5924" w:rsidR="000E7240" w:rsidRPr="005716F6" w:rsidRDefault="00000000">
      <w:pPr>
        <w:pStyle w:val="Cuerpodetexto"/>
        <w:rPr>
          <w:rStyle w:val="CuerpodetextoCar"/>
          <w:lang w:val="pt-PT"/>
        </w:rPr>
      </w:pPr>
      <w:r w:rsidRPr="005716F6">
        <w:rPr>
          <w:rStyle w:val="CuerpodetextoCar"/>
          <w:lang w:val="pt-PT"/>
        </w:rPr>
        <w:t>O nível de registo de patentes na região continua a ser baixo. Em 2022, o número de patentes internacionais solicitadas através do Tratado de Cooperação em Patentes (PCT</w:t>
      </w:r>
      <w:r w:rsidR="00630604">
        <w:rPr>
          <w:rStyle w:val="CuerpodetextoCar"/>
          <w:lang w:val="pt-PT"/>
        </w:rPr>
        <w:t>, na sigla inglesa</w:t>
      </w:r>
      <w:r w:rsidRPr="005716F6">
        <w:rPr>
          <w:rStyle w:val="CuerpodetextoCar"/>
          <w:lang w:val="pt-PT"/>
        </w:rPr>
        <w:t xml:space="preserve">) para a </w:t>
      </w:r>
      <w:r w:rsidR="00C878F0" w:rsidRPr="005716F6">
        <w:rPr>
          <w:rStyle w:val="CuerpodetextoCar"/>
          <w:lang w:val="pt-PT"/>
        </w:rPr>
        <w:t xml:space="preserve">América Latina e as Caraíbas </w:t>
      </w:r>
      <w:r w:rsidRPr="005716F6">
        <w:rPr>
          <w:rStyle w:val="CuerpodetextoCar"/>
          <w:lang w:val="pt-PT"/>
        </w:rPr>
        <w:t xml:space="preserve">foi de 1395, enquanto para o conjunto dos países ibero-americanos foi de 3024. </w:t>
      </w:r>
    </w:p>
    <w:p w14:paraId="3D906EA4" w14:textId="23CC2E4C" w:rsidR="000E7240" w:rsidRPr="005716F6" w:rsidRDefault="00630604">
      <w:pPr>
        <w:pStyle w:val="Cuerpodetexto"/>
        <w:rPr>
          <w:rStyle w:val="CuerpodetextoCar"/>
          <w:lang w:val="pt-PT"/>
        </w:rPr>
      </w:pPr>
      <w:r>
        <w:rPr>
          <w:rStyle w:val="CuerpodetextoCar"/>
          <w:lang w:val="pt-PT"/>
        </w:rPr>
        <w:t>Para a</w:t>
      </w:r>
      <w:r w:rsidRPr="005716F6">
        <w:rPr>
          <w:rStyle w:val="CuerpodetextoCar"/>
          <w:lang w:val="pt-PT"/>
        </w:rPr>
        <w:t xml:space="preserve">lém disso, em termos de patentes solicitadas nos institutos de propriedade intelectual dos países da região, 83% dos pedidos de patentes nos países da </w:t>
      </w:r>
      <w:r w:rsidR="00C878F0" w:rsidRPr="005716F6">
        <w:rPr>
          <w:rStyle w:val="CuerpodetextoCar"/>
          <w:lang w:val="pt-PT"/>
        </w:rPr>
        <w:t>região</w:t>
      </w:r>
      <w:r w:rsidRPr="005716F6">
        <w:rPr>
          <w:rStyle w:val="CuerpodetextoCar"/>
          <w:lang w:val="pt-PT"/>
        </w:rPr>
        <w:t xml:space="preserve"> em 2022 correspondem a não residentes, principalmente empresas estrangeiras que procuram proteger os seus produtos nos mercados da região. O México é o país onde este fenómeno foi mais acentuado, com 94% de todos os pedidos nas mãos de não residentes. No Chile e na Argentina, o valor foi de 88%, enquanto um dos valores mais baixos foi no Brasil, onde 75% dos pedidos foram feitos por não residentes.</w:t>
      </w:r>
    </w:p>
    <w:p w14:paraId="68F15A59" w14:textId="77777777" w:rsidR="000E7240" w:rsidRPr="005716F6" w:rsidRDefault="00000000">
      <w:pPr>
        <w:pStyle w:val="Ttulo2"/>
        <w:jc w:val="both"/>
        <w:rPr>
          <w:rFonts w:cs="Arial"/>
          <w:lang w:val="pt-PT"/>
        </w:rPr>
      </w:pPr>
      <w:r w:rsidRPr="005716F6">
        <w:rPr>
          <w:rFonts w:cs="Arial"/>
          <w:lang w:val="pt-PT"/>
        </w:rPr>
        <w:lastRenderedPageBreak/>
        <w:t>Sobre o Estado da Ciência 2024</w:t>
      </w:r>
    </w:p>
    <w:p w14:paraId="0E240132" w14:textId="77777777" w:rsidR="000E7240" w:rsidRPr="005716F6" w:rsidRDefault="00000000">
      <w:pPr>
        <w:spacing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noProof/>
          <w:lang w:val="es-AR"/>
        </w:rPr>
        <w:drawing>
          <wp:anchor distT="0" distB="0" distL="114300" distR="114300" simplePos="0" relativeHeight="251662336" behindDoc="1" locked="0" layoutInCell="1" allowOverlap="1" wp14:anchorId="683499D1" wp14:editId="2BDBC00B">
            <wp:simplePos x="0" y="0"/>
            <wp:positionH relativeFrom="margin">
              <wp:align>left</wp:align>
            </wp:positionH>
            <wp:positionV relativeFrom="paragraph">
              <wp:posOffset>261620</wp:posOffset>
            </wp:positionV>
            <wp:extent cx="2053590" cy="2876550"/>
            <wp:effectExtent l="0" t="0" r="3810" b="0"/>
            <wp:wrapTight wrapText="bothSides">
              <wp:wrapPolygon edited="0">
                <wp:start x="0" y="0"/>
                <wp:lineTo x="0" y="21457"/>
                <wp:lineTo x="21440" y="21457"/>
                <wp:lineTo x="21440" y="0"/>
                <wp:lineTo x="0" y="0"/>
              </wp:wrapPolygon>
            </wp:wrapTight>
            <wp:docPr id="21414219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421910" name="Imagen 21414219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371" cy="2895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E8E1E" w14:textId="1298C0D0" w:rsidR="000E7240" w:rsidRPr="005716F6" w:rsidRDefault="00000000">
      <w:pPr>
        <w:jc w:val="both"/>
        <w:rPr>
          <w:rFonts w:ascii="Arial" w:hAnsi="Arial" w:cs="Arial"/>
          <w:lang w:val="pt-PT"/>
        </w:rPr>
      </w:pPr>
      <w:r w:rsidRPr="005716F6">
        <w:rPr>
          <w:rFonts w:ascii="Arial" w:hAnsi="Arial" w:cs="Arial"/>
          <w:lang w:val="pt-PT"/>
        </w:rPr>
        <w:t xml:space="preserve">O </w:t>
      </w:r>
      <w:r w:rsidR="00630604">
        <w:rPr>
          <w:rFonts w:ascii="Arial" w:hAnsi="Arial" w:cs="Arial"/>
          <w:lang w:val="pt-PT"/>
        </w:rPr>
        <w:t>Estado da Ciência</w:t>
      </w:r>
      <w:r w:rsidRPr="005716F6">
        <w:rPr>
          <w:rFonts w:ascii="Arial" w:hAnsi="Arial" w:cs="Arial"/>
          <w:lang w:val="pt-PT"/>
        </w:rPr>
        <w:t xml:space="preserve"> 2024 inclui uma série de indicadores selecionados a partir da base de dados RICYT. O conjunto total, que abrange 135 séries estatísticas, pode ser acedido em </w:t>
      </w:r>
      <w:r w:rsidR="000E7240">
        <w:fldChar w:fldCharType="begin"/>
      </w:r>
      <w:r w:rsidR="000E7240" w:rsidRPr="00BE3679">
        <w:rPr>
          <w:lang w:val="pt-BR"/>
        </w:rPr>
        <w:instrText>HYPERLINK "http://www.ricyt.org"</w:instrText>
      </w:r>
      <w:r w:rsidR="000E7240">
        <w:fldChar w:fldCharType="separate"/>
      </w:r>
      <w:r w:rsidR="000E7240" w:rsidRPr="005716F6">
        <w:rPr>
          <w:rStyle w:val="Hipervnculo"/>
          <w:rFonts w:ascii="Arial" w:hAnsi="Arial" w:cs="Arial"/>
          <w:lang w:val="pt-PT"/>
        </w:rPr>
        <w:t>www.ricyt.org</w:t>
      </w:r>
      <w:r w:rsidR="000E7240">
        <w:rPr>
          <w:rStyle w:val="Hipervnculo"/>
          <w:rFonts w:ascii="Arial" w:hAnsi="Arial" w:cs="Arial"/>
          <w:lang w:val="pt-PT"/>
        </w:rPr>
        <w:fldChar w:fldCharType="end"/>
      </w:r>
      <w:r w:rsidRPr="005716F6">
        <w:rPr>
          <w:rFonts w:ascii="Arial" w:hAnsi="Arial" w:cs="Arial"/>
          <w:lang w:val="pt-PT"/>
        </w:rPr>
        <w:t xml:space="preserve"> e é o resultado de um esforço de colaboração entre as agências de ciência e tecnologia dos vinte países participantes na rede, que fornecem as informações apresentadas no volume, bem como uma vasta comunidade de peritos e organizações internacionais. A hiperligação para o conteúdo da publicação está disponível </w:t>
      </w:r>
      <w:r w:rsidR="000E7240">
        <w:fldChar w:fldCharType="begin"/>
      </w:r>
      <w:r w:rsidR="000E7240" w:rsidRPr="00BE3679">
        <w:rPr>
          <w:lang w:val="pt-BR"/>
        </w:rPr>
        <w:instrText>HYPERLINK "https://oei.int/oficinas/argentina/publicaciones/el-estado-de-la-ciencia-principales-indicadores-de-ciencia-y-tecnologia-iberoamericanos-interamericanos-2024/"</w:instrText>
      </w:r>
      <w:r w:rsidR="000E7240">
        <w:fldChar w:fldCharType="separate"/>
      </w:r>
      <w:r w:rsidR="000E7240" w:rsidRPr="00C57A96">
        <w:rPr>
          <w:rStyle w:val="Hipervnculo"/>
          <w:rFonts w:ascii="Arial" w:hAnsi="Arial" w:cs="Arial"/>
          <w:lang w:val="pt-PT"/>
        </w:rPr>
        <w:t>aqui</w:t>
      </w:r>
      <w:r w:rsidR="000E7240">
        <w:rPr>
          <w:rStyle w:val="Hipervnculo"/>
          <w:rFonts w:ascii="Arial" w:hAnsi="Arial" w:cs="Arial"/>
          <w:lang w:val="pt-PT"/>
        </w:rPr>
        <w:fldChar w:fldCharType="end"/>
      </w:r>
      <w:r w:rsidR="00C57A96">
        <w:rPr>
          <w:rFonts w:ascii="Arial" w:hAnsi="Arial" w:cs="Arial"/>
          <w:lang w:val="pt-PT"/>
        </w:rPr>
        <w:t>.</w:t>
      </w:r>
    </w:p>
    <w:p w14:paraId="5EAEDC27" w14:textId="77777777" w:rsidR="000E7240" w:rsidRPr="005716F6" w:rsidRDefault="00000000">
      <w:pPr>
        <w:jc w:val="both"/>
        <w:rPr>
          <w:rFonts w:ascii="Arial" w:hAnsi="Arial" w:cs="Arial"/>
          <w:b/>
          <w:bCs/>
          <w:color w:val="014380" w:themeColor="accent3"/>
          <w:lang w:val="pt-PT"/>
        </w:rPr>
      </w:pPr>
      <w:r w:rsidRPr="005716F6">
        <w:rPr>
          <w:rFonts w:ascii="Arial" w:hAnsi="Arial" w:cs="Arial"/>
          <w:b/>
          <w:bCs/>
          <w:color w:val="014380" w:themeColor="accent3"/>
          <w:lang w:val="pt-PT"/>
        </w:rPr>
        <w:t xml:space="preserve">Dossiê </w:t>
      </w:r>
      <w:proofErr w:type="spellStart"/>
      <w:r w:rsidRPr="005716F6">
        <w:rPr>
          <w:rFonts w:ascii="Arial" w:hAnsi="Arial" w:cs="Arial"/>
          <w:b/>
          <w:bCs/>
          <w:color w:val="014380" w:themeColor="accent3"/>
          <w:lang w:val="pt-PT"/>
        </w:rPr>
        <w:t>Bioeconomia</w:t>
      </w:r>
      <w:proofErr w:type="spellEnd"/>
    </w:p>
    <w:p w14:paraId="7540BA67" w14:textId="44BAD8F1" w:rsidR="000E7240" w:rsidRPr="005716F6" w:rsidRDefault="00000000">
      <w:pPr>
        <w:jc w:val="both"/>
        <w:rPr>
          <w:rFonts w:ascii="Arial" w:hAnsi="Arial" w:cs="Arial"/>
          <w:lang w:val="pt-PT"/>
        </w:rPr>
      </w:pPr>
      <w:r w:rsidRPr="005716F6">
        <w:rPr>
          <w:rFonts w:ascii="Arial" w:hAnsi="Arial" w:cs="Arial"/>
          <w:lang w:val="pt-PT"/>
        </w:rPr>
        <w:t xml:space="preserve">A edição de 2024 inclui um dossier sobre </w:t>
      </w:r>
      <w:proofErr w:type="spellStart"/>
      <w:r w:rsidRPr="005716F6">
        <w:rPr>
          <w:rFonts w:ascii="Arial" w:hAnsi="Arial" w:cs="Arial"/>
          <w:lang w:val="pt-PT"/>
        </w:rPr>
        <w:t>bioeconomia</w:t>
      </w:r>
      <w:proofErr w:type="spellEnd"/>
      <w:r w:rsidRPr="005716F6">
        <w:rPr>
          <w:rFonts w:ascii="Arial" w:hAnsi="Arial" w:cs="Arial"/>
          <w:lang w:val="pt-PT"/>
        </w:rPr>
        <w:t xml:space="preserve"> que explora uma área crucial para o desenvolvimento dos países ibero-americanos. Os textos exploram diferentes </w:t>
      </w:r>
      <w:r w:rsidR="00630604" w:rsidRPr="005716F6">
        <w:rPr>
          <w:rFonts w:ascii="Arial" w:hAnsi="Arial" w:cs="Arial"/>
          <w:lang w:val="pt-PT"/>
        </w:rPr>
        <w:t>aspetos</w:t>
      </w:r>
      <w:r w:rsidRPr="005716F6">
        <w:rPr>
          <w:rFonts w:ascii="Arial" w:hAnsi="Arial" w:cs="Arial"/>
          <w:lang w:val="pt-PT"/>
        </w:rPr>
        <w:t xml:space="preserve"> da </w:t>
      </w:r>
      <w:proofErr w:type="spellStart"/>
      <w:r w:rsidRPr="005716F6">
        <w:rPr>
          <w:rFonts w:ascii="Arial" w:hAnsi="Arial" w:cs="Arial"/>
          <w:lang w:val="pt-PT"/>
        </w:rPr>
        <w:t>bioeconomia</w:t>
      </w:r>
      <w:proofErr w:type="spellEnd"/>
      <w:r w:rsidRPr="005716F6">
        <w:rPr>
          <w:rFonts w:ascii="Arial" w:hAnsi="Arial" w:cs="Arial"/>
          <w:lang w:val="pt-PT"/>
        </w:rPr>
        <w:t xml:space="preserve"> - um modelo tecno-produtivo baseado na utilização sustentável de recursos biológicos renováveis para a produção de bens, serviços e formas "limpas" de energia - e a produção científica que a Ibero-América lhe tem dedicado em termos de artigos académicos e patentes, entre outros </w:t>
      </w:r>
      <w:r w:rsidR="00630604" w:rsidRPr="005716F6">
        <w:rPr>
          <w:rFonts w:ascii="Arial" w:hAnsi="Arial" w:cs="Arial"/>
          <w:lang w:val="pt-PT"/>
        </w:rPr>
        <w:t>aspetos</w:t>
      </w:r>
      <w:r w:rsidRPr="005716F6">
        <w:rPr>
          <w:rFonts w:ascii="Arial" w:hAnsi="Arial" w:cs="Arial"/>
          <w:lang w:val="pt-PT"/>
        </w:rPr>
        <w:t xml:space="preserve">. O dossier termina com estudos de caso que resumem as oportunidades e os desafios da </w:t>
      </w:r>
      <w:proofErr w:type="spellStart"/>
      <w:r w:rsidRPr="005716F6">
        <w:rPr>
          <w:rFonts w:ascii="Arial" w:hAnsi="Arial" w:cs="Arial"/>
          <w:lang w:val="pt-PT"/>
        </w:rPr>
        <w:t>bioeconomia</w:t>
      </w:r>
      <w:proofErr w:type="spellEnd"/>
      <w:r w:rsidRPr="005716F6">
        <w:rPr>
          <w:rFonts w:ascii="Arial" w:hAnsi="Arial" w:cs="Arial"/>
          <w:lang w:val="pt-PT"/>
        </w:rPr>
        <w:t xml:space="preserve"> na Ibero-América, com especial atenção para a sustentabilidade da floresta amazónica, o desenvolvimento de biocombustíveis, a inovação agrícola, o trabalho com sementes, as ligações tecnológicas, a promoção governamental a nível nacional e internacional, etc.</w:t>
      </w:r>
    </w:p>
    <w:p w14:paraId="4F3BF362" w14:textId="0656A326" w:rsidR="000E7240" w:rsidRPr="005716F6" w:rsidRDefault="00000000">
      <w:pPr>
        <w:pStyle w:val="Ttulo2"/>
        <w:jc w:val="both"/>
        <w:rPr>
          <w:rFonts w:cs="Arial"/>
          <w:lang w:val="pt-PT"/>
        </w:rPr>
      </w:pPr>
      <w:r w:rsidRPr="005716F6">
        <w:rPr>
          <w:rFonts w:cs="Arial"/>
          <w:lang w:val="pt-PT"/>
        </w:rPr>
        <w:t xml:space="preserve">Sobre a Organização </w:t>
      </w:r>
      <w:r w:rsidR="00630604">
        <w:rPr>
          <w:rFonts w:cs="Arial"/>
          <w:lang w:val="pt-PT"/>
        </w:rPr>
        <w:t>de</w:t>
      </w:r>
      <w:r w:rsidRPr="005716F6">
        <w:rPr>
          <w:rFonts w:cs="Arial"/>
          <w:lang w:val="pt-PT"/>
        </w:rPr>
        <w:t xml:space="preserve"> Estados Ibero-Americanos (OEI)</w:t>
      </w:r>
    </w:p>
    <w:p w14:paraId="6E4026BF" w14:textId="77777777" w:rsidR="00600CBA" w:rsidRPr="005716F6" w:rsidRDefault="00600CBA" w:rsidP="005A3E46">
      <w:pPr>
        <w:pStyle w:val="paragraph"/>
        <w:jc w:val="both"/>
        <w:rPr>
          <w:rStyle w:val="normaltextrun"/>
          <w:rFonts w:ascii="Arial" w:hAnsi="Arial" w:cs="Arial"/>
          <w:color w:val="000000"/>
          <w:lang w:val="pt-PT"/>
        </w:rPr>
      </w:pPr>
    </w:p>
    <w:p w14:paraId="49F4DB15" w14:textId="2C2B5BFB" w:rsidR="000E7240" w:rsidRPr="005716F6" w:rsidRDefault="00000000">
      <w:pPr>
        <w:shd w:val="clear" w:color="auto" w:fill="FFFFFF" w:themeFill="background1"/>
        <w:spacing w:after="0"/>
        <w:jc w:val="both"/>
        <w:rPr>
          <w:rFonts w:ascii="Arial" w:hAnsi="Arial" w:cs="Arial"/>
          <w:lang w:val="pt-PT"/>
        </w:rPr>
      </w:pPr>
      <w:r w:rsidRPr="005716F6">
        <w:rPr>
          <w:rFonts w:ascii="Arial" w:eastAsia="Arial" w:hAnsi="Arial" w:cs="Arial"/>
          <w:color w:val="000000" w:themeColor="accent6"/>
          <w:lang w:val="pt-PT"/>
        </w:rPr>
        <w:t>Sob o lema "Fazemos</w:t>
      </w:r>
      <w:r w:rsidR="00DD1C22">
        <w:rPr>
          <w:rFonts w:ascii="Arial" w:eastAsia="Arial" w:hAnsi="Arial" w:cs="Arial"/>
          <w:color w:val="000000" w:themeColor="accent6"/>
          <w:lang w:val="pt-PT"/>
        </w:rPr>
        <w:t xml:space="preserve"> a cooperação acontecer</w:t>
      </w:r>
      <w:r w:rsidRPr="005716F6">
        <w:rPr>
          <w:rFonts w:ascii="Arial" w:eastAsia="Arial" w:hAnsi="Arial" w:cs="Arial"/>
          <w:color w:val="000000" w:themeColor="accent6"/>
          <w:lang w:val="pt-PT"/>
        </w:rPr>
        <w:t>", a Organização de Estados Ibero-Americanos para a Educação, a Ciência e a Cultura (</w:t>
      </w:r>
      <w:r w:rsidR="000E7240">
        <w:fldChar w:fldCharType="begin"/>
      </w:r>
      <w:r w:rsidR="000E7240" w:rsidRPr="00BE3679">
        <w:rPr>
          <w:lang w:val="pt-BR"/>
        </w:rPr>
        <w:instrText>HYPERLINK "https://oei.int/" \h</w:instrText>
      </w:r>
      <w:r w:rsidR="000E7240">
        <w:fldChar w:fldCharType="separate"/>
      </w:r>
      <w:r w:rsidR="000E7240" w:rsidRPr="005716F6">
        <w:rPr>
          <w:rStyle w:val="Hipervnculo"/>
          <w:rFonts w:ascii="Arial" w:eastAsia="Arial" w:hAnsi="Arial" w:cs="Arial"/>
          <w:color w:val="000000" w:themeColor="accent6"/>
          <w:lang w:val="pt-PT"/>
        </w:rPr>
        <w:t>OEI</w:t>
      </w:r>
      <w:r w:rsidR="000E7240">
        <w:rPr>
          <w:rStyle w:val="Hipervnculo"/>
          <w:rFonts w:ascii="Arial" w:eastAsia="Arial" w:hAnsi="Arial" w:cs="Arial"/>
          <w:color w:val="000000" w:themeColor="accent6"/>
          <w:lang w:val="pt-PT"/>
        </w:rPr>
        <w:fldChar w:fldCharType="end"/>
      </w:r>
      <w:r w:rsidRPr="005716F6">
        <w:rPr>
          <w:rFonts w:ascii="Arial" w:eastAsia="Arial" w:hAnsi="Arial" w:cs="Arial"/>
          <w:color w:val="000000" w:themeColor="accent6"/>
          <w:lang w:val="pt-PT"/>
        </w:rPr>
        <w:t xml:space="preserve">) é, desde 1949, a primeira organização intergovernamental de cooperação Sul-Sul na Ibero-América. Conta atualmente com 23 Estados Membros e 19 delegações nacionais, para além da </w:t>
      </w:r>
      <w:proofErr w:type="spellStart"/>
      <w:r w:rsidRPr="005716F6">
        <w:rPr>
          <w:rFonts w:ascii="Arial" w:eastAsia="Arial" w:hAnsi="Arial" w:cs="Arial"/>
          <w:color w:val="000000" w:themeColor="accent6"/>
          <w:lang w:val="pt-PT"/>
        </w:rPr>
        <w:t>Secretaria-Geral</w:t>
      </w:r>
      <w:proofErr w:type="spellEnd"/>
      <w:r w:rsidRPr="005716F6">
        <w:rPr>
          <w:rFonts w:ascii="Arial" w:eastAsia="Arial" w:hAnsi="Arial" w:cs="Arial"/>
          <w:color w:val="000000" w:themeColor="accent6"/>
          <w:lang w:val="pt-PT"/>
        </w:rPr>
        <w:t xml:space="preserve"> em Madrid. Em 2024, recebeu o prestigioso Prémio Princesa das Astúrias para a Cooperação Internacional "pelo seu trabalho frutífero na promoção do multilateralismo e por representar uma ponte importante nas relações entre a Europa e a Ibero-América". Com mais de 650 </w:t>
      </w:r>
      <w:proofErr w:type="spellStart"/>
      <w:r w:rsidRPr="005716F6">
        <w:rPr>
          <w:rFonts w:ascii="Arial" w:eastAsia="Arial" w:hAnsi="Arial" w:cs="Arial"/>
          <w:color w:val="000000" w:themeColor="accent6"/>
          <w:lang w:val="pt-PT"/>
        </w:rPr>
        <w:t>projectos</w:t>
      </w:r>
      <w:proofErr w:type="spellEnd"/>
      <w:r w:rsidRPr="005716F6">
        <w:rPr>
          <w:rFonts w:ascii="Arial" w:eastAsia="Arial" w:hAnsi="Arial" w:cs="Arial"/>
          <w:color w:val="000000" w:themeColor="accent6"/>
          <w:lang w:val="pt-PT"/>
        </w:rPr>
        <w:t xml:space="preserve"> em curso e 400 acordos de cooperação </w:t>
      </w:r>
      <w:proofErr w:type="spellStart"/>
      <w:r w:rsidRPr="005716F6">
        <w:rPr>
          <w:rFonts w:ascii="Arial" w:eastAsia="Arial" w:hAnsi="Arial" w:cs="Arial"/>
          <w:color w:val="000000" w:themeColor="accent6"/>
          <w:lang w:val="pt-PT"/>
        </w:rPr>
        <w:t>activos</w:t>
      </w:r>
      <w:proofErr w:type="spellEnd"/>
      <w:r w:rsidRPr="005716F6">
        <w:rPr>
          <w:rFonts w:ascii="Arial" w:eastAsia="Arial" w:hAnsi="Arial" w:cs="Arial"/>
          <w:color w:val="000000" w:themeColor="accent6"/>
          <w:lang w:val="pt-PT"/>
        </w:rPr>
        <w:t>, a OEI representa uma das maiores redes de cooperação da Ibero-América. Entre os seus resultados, a organização contribuiu para a redução drástica do analfabetismo na Ibero-América, com uma média de 12 milhões de beneficiários diretos nos últimos 5 anos.</w:t>
      </w:r>
    </w:p>
    <w:sectPr w:rsidR="000E7240" w:rsidRPr="005716F6" w:rsidSect="00F603A4">
      <w:headerReference w:type="default" r:id="rId12"/>
      <w:footerReference w:type="default" r:id="rId13"/>
      <w:pgSz w:w="11906" w:h="16838"/>
      <w:pgMar w:top="2383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C4E00" w14:textId="77777777" w:rsidR="00D82514" w:rsidRDefault="00D82514" w:rsidP="00987ADF">
      <w:pPr>
        <w:spacing w:after="0" w:line="240" w:lineRule="auto"/>
      </w:pPr>
      <w:r>
        <w:separator/>
      </w:r>
    </w:p>
  </w:endnote>
  <w:endnote w:type="continuationSeparator" w:id="0">
    <w:p w14:paraId="0679A9E7" w14:textId="77777777" w:rsidR="00D82514" w:rsidRDefault="00D82514" w:rsidP="0098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ivo SemiBold">
    <w:altName w:val="Calibri"/>
    <w:charset w:val="00"/>
    <w:family w:val="auto"/>
    <w:pitch w:val="variable"/>
    <w:sig w:usb0="A00000FF" w:usb1="500020EB" w:usb2="00000008" w:usb3="00000000" w:csb0="00000193" w:csb1="00000000"/>
  </w:font>
  <w:font w:name="Archivo ExtraBold">
    <w:altName w:val="Calibri"/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  <w:font w:name="Archivo Bold">
    <w:altName w:val="Calibri"/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F29C" w14:textId="77777777" w:rsidR="00677EC7" w:rsidRDefault="00677EC7"/>
  <w:tbl>
    <w:tblPr>
      <w:tblStyle w:val="Tablaconcuadrcula"/>
      <w:tblW w:w="4962" w:type="dxa"/>
      <w:shd w:val="clear" w:color="auto" w:fill="E7E6E6" w:themeFill="background2"/>
      <w:tblLook w:val="04A0" w:firstRow="1" w:lastRow="0" w:firstColumn="1" w:lastColumn="0" w:noHBand="0" w:noVBand="1"/>
    </w:tblPr>
    <w:tblGrid>
      <w:gridCol w:w="1304"/>
      <w:gridCol w:w="3658"/>
    </w:tblGrid>
    <w:tr w:rsidR="00612686" w:rsidRPr="00BE3679" w14:paraId="310A7449" w14:textId="77777777" w:rsidTr="00612686">
      <w:trPr>
        <w:trHeight w:val="133"/>
      </w:trPr>
      <w:tc>
        <w:tcPr>
          <w:tcW w:w="1304" w:type="dxa"/>
          <w:tcBorders>
            <w:top w:val="single" w:sz="4" w:space="0" w:color="E7E6E6"/>
            <w:left w:val="single" w:sz="4" w:space="0" w:color="E7E6E6"/>
            <w:bottom w:val="single" w:sz="4" w:space="0" w:color="E7E6E6"/>
            <w:right w:val="single" w:sz="4" w:space="0" w:color="E7E6E6" w:themeColor="background2"/>
          </w:tcBorders>
          <w:shd w:val="clear" w:color="auto" w:fill="E7E6E6" w:themeFill="background2"/>
          <w:tcMar>
            <w:top w:w="142" w:type="dxa"/>
            <w:left w:w="142" w:type="dxa"/>
            <w:bottom w:w="142" w:type="dxa"/>
            <w:right w:w="142" w:type="dxa"/>
          </w:tcMar>
        </w:tcPr>
        <w:p w14:paraId="0CE7685A" w14:textId="77777777" w:rsidR="000E7240" w:rsidRDefault="00000000">
          <w:pPr>
            <w:pStyle w:val="Subttulo"/>
            <w:rPr>
              <w:b/>
              <w:bCs/>
              <w:color w:val="7B7A77" w:themeColor="accent5"/>
              <w:sz w:val="14"/>
              <w:szCs w:val="14"/>
            </w:rPr>
          </w:pPr>
          <w:r>
            <w:rPr>
              <w:b/>
              <w:bCs/>
              <w:noProof/>
              <w:color w:val="7B7A77" w:themeColor="accent5"/>
              <w:sz w:val="14"/>
              <w:szCs w:val="14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CB0FAD" wp14:editId="039049A3">
                    <wp:simplePos x="0" y="0"/>
                    <wp:positionH relativeFrom="column">
                      <wp:posOffset>668020</wp:posOffset>
                    </wp:positionH>
                    <wp:positionV relativeFrom="paragraph">
                      <wp:posOffset>-76200</wp:posOffset>
                    </wp:positionV>
                    <wp:extent cx="0" cy="670694"/>
                    <wp:effectExtent l="0" t="0" r="19050" b="34290"/>
                    <wp:wrapNone/>
                    <wp:docPr id="2" name="Conector rec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7069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>
                <w:pict>
                  <v:line id="Conector recto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b7a77 [3208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" from="52.6pt,-6pt" to="52.6pt,46.8pt" w14:anchorId="224D95C6">
                    <v:stroke joinstyle="miter"/>
                  </v:line>
                </w:pict>
              </mc:Fallback>
            </mc:AlternateContent>
          </w:r>
          <w:r w:rsidR="00612686" w:rsidRPr="00807CCB">
            <w:rPr>
              <w:b/>
              <w:bCs/>
              <w:color w:val="7B7A77" w:themeColor="accent5"/>
              <w:sz w:val="14"/>
              <w:szCs w:val="14"/>
            </w:rPr>
            <w:t>CONTACTO</w:t>
          </w:r>
        </w:p>
      </w:tc>
      <w:tc>
        <w:tcPr>
          <w:tcW w:w="3658" w:type="dxa"/>
          <w:tcBorders>
            <w:top w:val="single" w:sz="4" w:space="0" w:color="E7E6E6" w:themeColor="background2"/>
            <w:left w:val="single" w:sz="4" w:space="0" w:color="E7E6E6" w:themeColor="background2"/>
            <w:bottom w:val="single" w:sz="4" w:space="0" w:color="E7E6E6" w:themeColor="background2"/>
            <w:right w:val="single" w:sz="4" w:space="0" w:color="E7E6E6" w:themeColor="background2"/>
          </w:tcBorders>
          <w:shd w:val="clear" w:color="auto" w:fill="E7E6E6" w:themeFill="background2"/>
          <w:tcMar>
            <w:top w:w="142" w:type="dxa"/>
            <w:left w:w="142" w:type="dxa"/>
            <w:bottom w:w="142" w:type="dxa"/>
            <w:right w:w="142" w:type="dxa"/>
          </w:tcMar>
        </w:tcPr>
        <w:p w14:paraId="249B0669" w14:textId="77777777" w:rsidR="000E7240" w:rsidRPr="005716F6" w:rsidRDefault="00000000">
          <w:pPr>
            <w:pStyle w:val="Subttulo"/>
            <w:rPr>
              <w:b/>
              <w:bCs/>
              <w:color w:val="7B7A77" w:themeColor="accent5"/>
              <w:lang w:val="pt-PT"/>
            </w:rPr>
          </w:pPr>
          <w:r w:rsidRPr="005716F6">
            <w:rPr>
              <w:b/>
              <w:bCs/>
              <w:color w:val="7B7A77" w:themeColor="accent5"/>
              <w:lang w:val="pt-PT"/>
            </w:rPr>
            <w:t>Equipa de comunicação e</w:t>
          </w:r>
        </w:p>
        <w:p w14:paraId="6A51A915" w14:textId="77777777" w:rsidR="000E7240" w:rsidRPr="005716F6" w:rsidRDefault="00000000">
          <w:pPr>
            <w:pStyle w:val="Subttulo"/>
            <w:rPr>
              <w:b/>
              <w:bCs/>
              <w:color w:val="7B7A77" w:themeColor="accent5"/>
              <w:lang w:val="pt-PT"/>
            </w:rPr>
          </w:pPr>
          <w:r w:rsidRPr="005716F6">
            <w:rPr>
              <w:b/>
              <w:bCs/>
              <w:color w:val="7B7A77" w:themeColor="accent5"/>
              <w:lang w:val="pt-PT"/>
            </w:rPr>
            <w:t>Difusão - OEI Argentina</w:t>
          </w:r>
        </w:p>
        <w:p w14:paraId="59D07AA5" w14:textId="77777777" w:rsidR="000E7240" w:rsidRDefault="00000000">
          <w:pPr>
            <w:pStyle w:val="Subttulo"/>
            <w:rPr>
              <w:b/>
              <w:bCs/>
              <w:color w:val="00AEC3" w:themeColor="accent1"/>
              <w:lang w:val="en-US"/>
            </w:rPr>
          </w:pPr>
          <w:r w:rsidRPr="006421A0">
            <w:rPr>
              <w:b/>
              <w:bCs/>
              <w:color w:val="00AEC3" w:themeColor="accent1"/>
              <w:lang w:val="en-US"/>
            </w:rPr>
            <w:t>difusion.arg@oei.int</w:t>
          </w:r>
        </w:p>
        <w:p w14:paraId="2DFDFAFD" w14:textId="77777777" w:rsidR="000E7240" w:rsidRDefault="00000000">
          <w:pPr>
            <w:pStyle w:val="Subttulo"/>
            <w:rPr>
              <w:color w:val="7B7A77" w:themeColor="accent5"/>
              <w:lang w:val="en-US"/>
            </w:rPr>
          </w:pPr>
          <w:r w:rsidRPr="006421A0">
            <w:rPr>
              <w:b/>
              <w:bCs/>
              <w:color w:val="7B7A77" w:themeColor="accent5"/>
              <w:lang w:val="en-US"/>
            </w:rPr>
            <w:t>Tel. (+54) 11 4 813 0033/34 - EXT 317</w:t>
          </w:r>
        </w:p>
      </w:tc>
    </w:tr>
  </w:tbl>
  <w:p w14:paraId="69B96FCB" w14:textId="6EF83A98" w:rsidR="00305145" w:rsidRPr="006421A0" w:rsidRDefault="0030514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B7B0E" w14:textId="77777777" w:rsidR="00D82514" w:rsidRDefault="00D82514" w:rsidP="00987ADF">
      <w:pPr>
        <w:spacing w:after="0" w:line="240" w:lineRule="auto"/>
      </w:pPr>
      <w:r>
        <w:separator/>
      </w:r>
    </w:p>
  </w:footnote>
  <w:footnote w:type="continuationSeparator" w:id="0">
    <w:p w14:paraId="12E226B0" w14:textId="77777777" w:rsidR="00D82514" w:rsidRDefault="00D82514" w:rsidP="0098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D5F13" w14:textId="77777777" w:rsidR="000E7240" w:rsidRDefault="0000000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BC3E9C2" wp14:editId="30B64B22">
          <wp:simplePos x="0" y="0"/>
          <wp:positionH relativeFrom="margin">
            <wp:posOffset>-1047084</wp:posOffset>
          </wp:positionH>
          <wp:positionV relativeFrom="paragraph">
            <wp:posOffset>-428181</wp:posOffset>
          </wp:positionV>
          <wp:extent cx="7506407" cy="1538805"/>
          <wp:effectExtent l="0" t="0" r="0" b="444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6407" cy="153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15B3B"/>
    <w:multiLevelType w:val="hybridMultilevel"/>
    <w:tmpl w:val="6C4E6F4E"/>
    <w:lvl w:ilvl="0" w:tplc="81CCFD5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5D94"/>
    <w:multiLevelType w:val="hybridMultilevel"/>
    <w:tmpl w:val="8C7299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3152"/>
    <w:multiLevelType w:val="hybridMultilevel"/>
    <w:tmpl w:val="FD88E97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E508B"/>
    <w:multiLevelType w:val="hybridMultilevel"/>
    <w:tmpl w:val="68C24BA2"/>
    <w:lvl w:ilvl="0" w:tplc="81CCFD56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F07178"/>
    <w:multiLevelType w:val="hybridMultilevel"/>
    <w:tmpl w:val="9C0ABF66"/>
    <w:lvl w:ilvl="0" w:tplc="81CCFD56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5B05FA"/>
    <w:multiLevelType w:val="hybridMultilevel"/>
    <w:tmpl w:val="E55E07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731F5"/>
    <w:multiLevelType w:val="hybridMultilevel"/>
    <w:tmpl w:val="913C1194"/>
    <w:lvl w:ilvl="0" w:tplc="81CCFD56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A414EB"/>
    <w:multiLevelType w:val="hybridMultilevel"/>
    <w:tmpl w:val="6E02E24E"/>
    <w:lvl w:ilvl="0" w:tplc="4B78AB2A">
      <w:start w:val="1"/>
      <w:numFmt w:val="bullet"/>
      <w:pStyle w:val="Enumeracintitulares"/>
      <w:lvlText w:val=""/>
      <w:lvlJc w:val="left"/>
      <w:pPr>
        <w:ind w:left="720" w:hanging="360"/>
      </w:pPr>
      <w:rPr>
        <w:rFonts w:ascii="Symbol" w:hAnsi="Symbol" w:hint="default"/>
        <w:color w:val="014380" w:themeColor="accent3"/>
      </w:rPr>
    </w:lvl>
    <w:lvl w:ilvl="1" w:tplc="4E14AB52">
      <w:numFmt w:val="bullet"/>
      <w:lvlText w:val="•"/>
      <w:lvlJc w:val="left"/>
      <w:pPr>
        <w:ind w:left="1440" w:hanging="360"/>
      </w:pPr>
      <w:rPr>
        <w:rFonts w:ascii="Archivo SemiBold" w:eastAsiaTheme="minorHAnsi" w:hAnsi="Archivo SemiBold" w:cs="Archivo SemiBold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423722">
    <w:abstractNumId w:val="7"/>
  </w:num>
  <w:num w:numId="2" w16cid:durableId="1211383478">
    <w:abstractNumId w:val="1"/>
  </w:num>
  <w:num w:numId="3" w16cid:durableId="397702953">
    <w:abstractNumId w:val="0"/>
  </w:num>
  <w:num w:numId="4" w16cid:durableId="435174235">
    <w:abstractNumId w:val="6"/>
  </w:num>
  <w:num w:numId="5" w16cid:durableId="1255019522">
    <w:abstractNumId w:val="4"/>
  </w:num>
  <w:num w:numId="6" w16cid:durableId="373389057">
    <w:abstractNumId w:val="3"/>
  </w:num>
  <w:num w:numId="7" w16cid:durableId="1434058968">
    <w:abstractNumId w:val="2"/>
  </w:num>
  <w:num w:numId="8" w16cid:durableId="787428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A1"/>
    <w:rsid w:val="0001680B"/>
    <w:rsid w:val="00054DD6"/>
    <w:rsid w:val="000A56F8"/>
    <w:rsid w:val="000C731C"/>
    <w:rsid w:val="000D58EB"/>
    <w:rsid w:val="000E7240"/>
    <w:rsid w:val="000E7CA3"/>
    <w:rsid w:val="00155BA1"/>
    <w:rsid w:val="00163F9F"/>
    <w:rsid w:val="001769DE"/>
    <w:rsid w:val="00182710"/>
    <w:rsid w:val="001A6400"/>
    <w:rsid w:val="001D78B0"/>
    <w:rsid w:val="00226AB1"/>
    <w:rsid w:val="002557BC"/>
    <w:rsid w:val="002C0F46"/>
    <w:rsid w:val="002C4D6C"/>
    <w:rsid w:val="00305145"/>
    <w:rsid w:val="00306522"/>
    <w:rsid w:val="00337A84"/>
    <w:rsid w:val="0034061A"/>
    <w:rsid w:val="00342383"/>
    <w:rsid w:val="00367384"/>
    <w:rsid w:val="00387DD8"/>
    <w:rsid w:val="00393C5B"/>
    <w:rsid w:val="003A38D9"/>
    <w:rsid w:val="003E3CD5"/>
    <w:rsid w:val="003E775E"/>
    <w:rsid w:val="00427EA0"/>
    <w:rsid w:val="00437340"/>
    <w:rsid w:val="004552B0"/>
    <w:rsid w:val="00487F00"/>
    <w:rsid w:val="0049455C"/>
    <w:rsid w:val="004C72B0"/>
    <w:rsid w:val="004D2BFE"/>
    <w:rsid w:val="004E5737"/>
    <w:rsid w:val="004F3BC4"/>
    <w:rsid w:val="0051531D"/>
    <w:rsid w:val="00537FE0"/>
    <w:rsid w:val="0054219C"/>
    <w:rsid w:val="00551363"/>
    <w:rsid w:val="00560035"/>
    <w:rsid w:val="005716F6"/>
    <w:rsid w:val="005A3E46"/>
    <w:rsid w:val="005D5E9C"/>
    <w:rsid w:val="00600CBA"/>
    <w:rsid w:val="00606C95"/>
    <w:rsid w:val="00612686"/>
    <w:rsid w:val="006148B2"/>
    <w:rsid w:val="00614C38"/>
    <w:rsid w:val="00630604"/>
    <w:rsid w:val="00634B20"/>
    <w:rsid w:val="006421A0"/>
    <w:rsid w:val="00654A5A"/>
    <w:rsid w:val="006562BA"/>
    <w:rsid w:val="00656C0E"/>
    <w:rsid w:val="00661404"/>
    <w:rsid w:val="00670824"/>
    <w:rsid w:val="00677EC7"/>
    <w:rsid w:val="006C00B4"/>
    <w:rsid w:val="006C7A67"/>
    <w:rsid w:val="006E479D"/>
    <w:rsid w:val="0070196E"/>
    <w:rsid w:val="00735834"/>
    <w:rsid w:val="007445CF"/>
    <w:rsid w:val="00785405"/>
    <w:rsid w:val="00796FB4"/>
    <w:rsid w:val="00802009"/>
    <w:rsid w:val="008029C1"/>
    <w:rsid w:val="00807CCB"/>
    <w:rsid w:val="0081467C"/>
    <w:rsid w:val="008234B3"/>
    <w:rsid w:val="0083366E"/>
    <w:rsid w:val="008379D1"/>
    <w:rsid w:val="0085631F"/>
    <w:rsid w:val="008A2603"/>
    <w:rsid w:val="0094473B"/>
    <w:rsid w:val="00987ADF"/>
    <w:rsid w:val="009D7AFB"/>
    <w:rsid w:val="009E4EF8"/>
    <w:rsid w:val="00A27BDB"/>
    <w:rsid w:val="00A43BCC"/>
    <w:rsid w:val="00A57F24"/>
    <w:rsid w:val="00AD2E6A"/>
    <w:rsid w:val="00B01EBB"/>
    <w:rsid w:val="00B21068"/>
    <w:rsid w:val="00B23A9A"/>
    <w:rsid w:val="00B4223E"/>
    <w:rsid w:val="00B54D87"/>
    <w:rsid w:val="00B65BBD"/>
    <w:rsid w:val="00B77D43"/>
    <w:rsid w:val="00B90A8E"/>
    <w:rsid w:val="00BA4B70"/>
    <w:rsid w:val="00BA4F4D"/>
    <w:rsid w:val="00BC491F"/>
    <w:rsid w:val="00BE3679"/>
    <w:rsid w:val="00C57A96"/>
    <w:rsid w:val="00C74CAA"/>
    <w:rsid w:val="00C878F0"/>
    <w:rsid w:val="00CE2797"/>
    <w:rsid w:val="00CF0C15"/>
    <w:rsid w:val="00CF4AFB"/>
    <w:rsid w:val="00D35877"/>
    <w:rsid w:val="00D6185F"/>
    <w:rsid w:val="00D61DCF"/>
    <w:rsid w:val="00D63094"/>
    <w:rsid w:val="00D82514"/>
    <w:rsid w:val="00D90C36"/>
    <w:rsid w:val="00DA0C03"/>
    <w:rsid w:val="00DB4096"/>
    <w:rsid w:val="00DD1B9E"/>
    <w:rsid w:val="00DD1C22"/>
    <w:rsid w:val="00DD2F7A"/>
    <w:rsid w:val="00DF203E"/>
    <w:rsid w:val="00E00BCB"/>
    <w:rsid w:val="00E1507D"/>
    <w:rsid w:val="00E65C4F"/>
    <w:rsid w:val="00E74B50"/>
    <w:rsid w:val="00EA760A"/>
    <w:rsid w:val="00EB2D47"/>
    <w:rsid w:val="00ED6041"/>
    <w:rsid w:val="00EE2364"/>
    <w:rsid w:val="00F053C8"/>
    <w:rsid w:val="00F30224"/>
    <w:rsid w:val="00F603A4"/>
    <w:rsid w:val="00F651A3"/>
    <w:rsid w:val="00F75300"/>
    <w:rsid w:val="00F84E83"/>
    <w:rsid w:val="00F90073"/>
    <w:rsid w:val="00FB0832"/>
    <w:rsid w:val="50F5E85B"/>
    <w:rsid w:val="62FFB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FEC58"/>
  <w15:chartTrackingRefBased/>
  <w15:docId w15:val="{1915B015-47B7-4166-ABF1-08461B28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rsid w:val="006562BA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573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14380" w:themeColor="accent3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ADF"/>
  </w:style>
  <w:style w:type="paragraph" w:styleId="Piedepgina">
    <w:name w:val="footer"/>
    <w:basedOn w:val="Normal"/>
    <w:link w:val="Piedepgina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ADF"/>
  </w:style>
  <w:style w:type="table" w:styleId="Tablaconcuadrcula">
    <w:name w:val="Table Grid"/>
    <w:basedOn w:val="Tablanormal"/>
    <w:uiPriority w:val="39"/>
    <w:rsid w:val="00DB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7F00"/>
    <w:rPr>
      <w:color w:val="00AEC3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F00"/>
    <w:rPr>
      <w:color w:val="605E5C"/>
      <w:shd w:val="clear" w:color="auto" w:fill="E1DFDD"/>
    </w:rPr>
  </w:style>
  <w:style w:type="paragraph" w:customStyle="1" w:styleId="Default">
    <w:name w:val="Default"/>
    <w:link w:val="DefaultCar"/>
    <w:rsid w:val="00387DD8"/>
    <w:pPr>
      <w:autoSpaceDE w:val="0"/>
      <w:autoSpaceDN w:val="0"/>
      <w:adjustRightInd w:val="0"/>
      <w:spacing w:after="0" w:line="240" w:lineRule="auto"/>
    </w:pPr>
    <w:rPr>
      <w:rFonts w:ascii="Archivo ExtraBold" w:hAnsi="Archivo ExtraBold" w:cs="Archivo Extra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90073"/>
    <w:pPr>
      <w:spacing w:line="241" w:lineRule="atLeast"/>
    </w:pPr>
    <w:rPr>
      <w:rFonts w:ascii="Archivo SemiBold" w:hAnsi="Archivo SemiBold" w:cstheme="minorBidi"/>
      <w:color w:val="auto"/>
    </w:rPr>
  </w:style>
  <w:style w:type="character" w:customStyle="1" w:styleId="A1">
    <w:name w:val="A1"/>
    <w:uiPriority w:val="99"/>
    <w:rsid w:val="00F90073"/>
    <w:rPr>
      <w:rFonts w:cs="Archivo SemiBold"/>
      <w:b/>
      <w:bCs/>
      <w:color w:val="000000"/>
    </w:rPr>
  </w:style>
  <w:style w:type="paragraph" w:styleId="Prrafodelista">
    <w:name w:val="List Paragraph"/>
    <w:basedOn w:val="Normal"/>
    <w:link w:val="PrrafodelistaCar"/>
    <w:uiPriority w:val="34"/>
    <w:rsid w:val="00D6185F"/>
    <w:pPr>
      <w:ind w:left="720"/>
      <w:contextualSpacing/>
    </w:pPr>
  </w:style>
  <w:style w:type="character" w:customStyle="1" w:styleId="A2">
    <w:name w:val="A2"/>
    <w:uiPriority w:val="99"/>
    <w:rsid w:val="008379D1"/>
    <w:rPr>
      <w:rFonts w:cs="Archivo Bold"/>
      <w:b/>
      <w:bCs/>
      <w:color w:val="221E1F"/>
      <w:sz w:val="30"/>
      <w:szCs w:val="30"/>
    </w:rPr>
  </w:style>
  <w:style w:type="paragraph" w:customStyle="1" w:styleId="Encabezadonotadeprensa">
    <w:name w:val="Encabezado nota de prensa"/>
    <w:basedOn w:val="Default"/>
    <w:link w:val="EncabezadonotadeprensaCar"/>
    <w:qFormat/>
    <w:rsid w:val="0049455C"/>
    <w:pPr>
      <w:jc w:val="center"/>
    </w:pPr>
    <w:rPr>
      <w:rFonts w:ascii="Arial" w:hAnsi="Arial" w:cs="Arial"/>
      <w:b/>
      <w:noProof/>
      <w:color w:val="014380" w:themeColor="accent3"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6562BA"/>
    <w:rPr>
      <w:rFonts w:ascii="Arial" w:eastAsiaTheme="majorEastAsia" w:hAnsi="Arial" w:cstheme="majorBidi"/>
      <w:b/>
      <w:sz w:val="30"/>
      <w:szCs w:val="32"/>
    </w:rPr>
  </w:style>
  <w:style w:type="character" w:customStyle="1" w:styleId="DefaultCar">
    <w:name w:val="Default Car"/>
    <w:basedOn w:val="Fuentedeprrafopredeter"/>
    <w:link w:val="Default"/>
    <w:rsid w:val="00B90A8E"/>
    <w:rPr>
      <w:rFonts w:ascii="Archivo ExtraBold" w:hAnsi="Archivo ExtraBold" w:cs="Archivo ExtraBold"/>
      <w:color w:val="000000"/>
      <w:sz w:val="24"/>
      <w:szCs w:val="24"/>
    </w:rPr>
  </w:style>
  <w:style w:type="character" w:customStyle="1" w:styleId="EncabezadonotadeprensaCar">
    <w:name w:val="Encabezado nota de prensa Car"/>
    <w:basedOn w:val="DefaultCar"/>
    <w:link w:val="Encabezadonotadeprensa"/>
    <w:rsid w:val="0049455C"/>
    <w:rPr>
      <w:rFonts w:ascii="Arial" w:hAnsi="Arial" w:cs="Arial"/>
      <w:b/>
      <w:noProof/>
      <w:color w:val="014380" w:themeColor="accent3"/>
      <w:sz w:val="36"/>
      <w:szCs w:val="36"/>
    </w:rPr>
  </w:style>
  <w:style w:type="paragraph" w:customStyle="1" w:styleId="Cuerpodetexto">
    <w:name w:val="Cuerpo de texto"/>
    <w:basedOn w:val="Normal"/>
    <w:link w:val="CuerpodetextoCar"/>
    <w:qFormat/>
    <w:rsid w:val="006562BA"/>
    <w:pPr>
      <w:jc w:val="both"/>
    </w:pPr>
    <w:rPr>
      <w:rFonts w:ascii="Arial" w:hAnsi="Arial" w:cs="Arial"/>
    </w:rPr>
  </w:style>
  <w:style w:type="paragraph" w:customStyle="1" w:styleId="Enumeracintitulares">
    <w:name w:val="Enumeración titulares"/>
    <w:basedOn w:val="Prrafodelista"/>
    <w:link w:val="EnumeracintitularesCar"/>
    <w:qFormat/>
    <w:rsid w:val="006562BA"/>
    <w:pPr>
      <w:numPr>
        <w:numId w:val="1"/>
      </w:numPr>
      <w:autoSpaceDE w:val="0"/>
      <w:autoSpaceDN w:val="0"/>
      <w:adjustRightInd w:val="0"/>
      <w:spacing w:before="480" w:after="480" w:line="240" w:lineRule="atLeast"/>
      <w:ind w:left="284" w:hanging="284"/>
      <w:jc w:val="both"/>
    </w:pPr>
    <w:rPr>
      <w:rFonts w:ascii="Arial" w:hAnsi="Arial" w:cs="Arial"/>
      <w:b/>
      <w:bCs/>
      <w:color w:val="000000"/>
    </w:rPr>
  </w:style>
  <w:style w:type="character" w:customStyle="1" w:styleId="CuerpodetextoCar">
    <w:name w:val="Cuerpo de texto Car"/>
    <w:basedOn w:val="Fuentedeprrafopredeter"/>
    <w:link w:val="Cuerpodetexto"/>
    <w:rsid w:val="006562BA"/>
    <w:rPr>
      <w:rFonts w:ascii="Arial" w:hAnsi="Arial" w:cs="Arial"/>
    </w:rPr>
  </w:style>
  <w:style w:type="paragraph" w:styleId="Subttulo">
    <w:name w:val="Subtitle"/>
    <w:aliases w:val="Info contacto"/>
    <w:basedOn w:val="Normal"/>
    <w:next w:val="Normal"/>
    <w:link w:val="SubttuloCar"/>
    <w:uiPriority w:val="11"/>
    <w:rsid w:val="00C74CAA"/>
    <w:pPr>
      <w:numPr>
        <w:ilvl w:val="1"/>
      </w:numPr>
    </w:pPr>
    <w:rPr>
      <w:rFonts w:ascii="Arial" w:eastAsiaTheme="minorEastAsia" w:hAnsi="Arial"/>
      <w:color w:val="565550" w:themeColor="text2"/>
      <w:sz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C731C"/>
  </w:style>
  <w:style w:type="character" w:customStyle="1" w:styleId="EnumeracintitularesCar">
    <w:name w:val="Enumeración titulares Car"/>
    <w:basedOn w:val="PrrafodelistaCar"/>
    <w:link w:val="Enumeracintitulares"/>
    <w:rsid w:val="006562BA"/>
    <w:rPr>
      <w:rFonts w:ascii="Arial" w:hAnsi="Arial" w:cs="Arial"/>
      <w:b/>
      <w:bCs/>
      <w:color w:val="000000"/>
    </w:rPr>
  </w:style>
  <w:style w:type="character" w:customStyle="1" w:styleId="SubttuloCar">
    <w:name w:val="Subtítulo Car"/>
    <w:aliases w:val="Info contacto Car"/>
    <w:basedOn w:val="Fuentedeprrafopredeter"/>
    <w:link w:val="Subttulo"/>
    <w:uiPriority w:val="11"/>
    <w:rsid w:val="00C74CAA"/>
    <w:rPr>
      <w:rFonts w:ascii="Arial" w:eastAsiaTheme="minorEastAsia" w:hAnsi="Arial"/>
      <w:color w:val="565550" w:themeColor="text2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4E5737"/>
    <w:rPr>
      <w:rFonts w:ascii="Arial" w:eastAsiaTheme="majorEastAsia" w:hAnsi="Arial" w:cstheme="majorBidi"/>
      <w:b/>
      <w:color w:val="014380" w:themeColor="accent3"/>
      <w:szCs w:val="26"/>
    </w:rPr>
  </w:style>
  <w:style w:type="paragraph" w:customStyle="1" w:styleId="paragraph">
    <w:name w:val="paragraph"/>
    <w:basedOn w:val="Normal"/>
    <w:rsid w:val="00600CBA"/>
    <w:pPr>
      <w:spacing w:after="0" w:line="240" w:lineRule="auto"/>
    </w:pPr>
    <w:rPr>
      <w:rFonts w:ascii="Calibri" w:hAnsi="Calibri" w:cs="Calibri"/>
      <w:lang w:val="pt-BR" w:eastAsia="pt-BR"/>
    </w:rPr>
  </w:style>
  <w:style w:type="character" w:customStyle="1" w:styleId="normaltextrun">
    <w:name w:val="normaltextrun"/>
    <w:basedOn w:val="Fuentedeprrafopredeter"/>
    <w:rsid w:val="00600CBA"/>
  </w:style>
  <w:style w:type="character" w:customStyle="1" w:styleId="eop">
    <w:name w:val="eop"/>
    <w:basedOn w:val="Fuentedeprrafopredeter"/>
    <w:rsid w:val="00600CBA"/>
  </w:style>
  <w:style w:type="character" w:styleId="Mencinsinresolver">
    <w:name w:val="Unresolved Mention"/>
    <w:basedOn w:val="Fuentedeprrafopredeter"/>
    <w:uiPriority w:val="99"/>
    <w:semiHidden/>
    <w:unhideWhenUsed/>
    <w:rsid w:val="005A3E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878F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878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78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78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78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78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Personalizado 4">
      <a:dk1>
        <a:sysClr val="windowText" lastClr="000000"/>
      </a:dk1>
      <a:lt1>
        <a:sysClr val="window" lastClr="FFFFFF"/>
      </a:lt1>
      <a:dk2>
        <a:srgbClr val="565550"/>
      </a:dk2>
      <a:lt2>
        <a:srgbClr val="E7E6E6"/>
      </a:lt2>
      <a:accent1>
        <a:srgbClr val="00AEC3"/>
      </a:accent1>
      <a:accent2>
        <a:srgbClr val="C7D301"/>
      </a:accent2>
      <a:accent3>
        <a:srgbClr val="014380"/>
      </a:accent3>
      <a:accent4>
        <a:srgbClr val="04A583"/>
      </a:accent4>
      <a:accent5>
        <a:srgbClr val="7B7A77"/>
      </a:accent5>
      <a:accent6>
        <a:srgbClr val="000000"/>
      </a:accent6>
      <a:hlink>
        <a:srgbClr val="00AEC3"/>
      </a:hlink>
      <a:folHlink>
        <a:srgbClr val="C7D30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5BA784EBA8FD4BAC7F3900C7EF3CD1" ma:contentTypeVersion="14" ma:contentTypeDescription="Crear nuevo documento." ma:contentTypeScope="" ma:versionID="7c91f99a266488fd9c10be1cc96b1927">
  <xsd:schema xmlns:xsd="http://www.w3.org/2001/XMLSchema" xmlns:xs="http://www.w3.org/2001/XMLSchema" xmlns:p="http://schemas.microsoft.com/office/2006/metadata/properties" xmlns:ns2="9ffaa40c-0d1f-4813-a72a-4b77f450129e" xmlns:ns3="5284f127-81e9-4fc0-b821-7ee047a2f772" targetNamespace="http://schemas.microsoft.com/office/2006/metadata/properties" ma:root="true" ma:fieldsID="ebb5b830edde5368f8b20ae11c6f2ade" ns2:_="" ns3:_="">
    <xsd:import namespace="9ffaa40c-0d1f-4813-a72a-4b77f450129e"/>
    <xsd:import namespace="5284f127-81e9-4fc0-b821-7ee047a2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aa40c-0d1f-4813-a72a-4b77f4501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4f127-81e9-4fc0-b821-7ee047a2f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be4512b-bcd5-4d5c-b300-78a75b872e32}" ma:internalName="TaxCatchAll" ma:showField="CatchAllData" ma:web="5284f127-81e9-4fc0-b821-7ee047a2f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faa40c-0d1f-4813-a72a-4b77f450129e">
      <Terms xmlns="http://schemas.microsoft.com/office/infopath/2007/PartnerControls"/>
    </lcf76f155ced4ddcb4097134ff3c332f>
    <TaxCatchAll xmlns="5284f127-81e9-4fc0-b821-7ee047a2f772" xsi:nil="true"/>
  </documentManagement>
</p:properties>
</file>

<file path=customXml/itemProps1.xml><?xml version="1.0" encoding="utf-8"?>
<ds:datastoreItem xmlns:ds="http://schemas.openxmlformats.org/officeDocument/2006/customXml" ds:itemID="{380232F7-3230-4210-AE8C-908FF803EB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3CED9-A1D5-4000-9391-6A9A68806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aa40c-0d1f-4813-a72a-4b77f450129e"/>
    <ds:schemaRef ds:uri="5284f127-81e9-4fc0-b821-7ee047a2f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50E0B-CF50-4416-878F-AAEF3CBCA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B07E8-3E96-4B7D-916E-F09CDD0B84A0}">
  <ds:schemaRefs>
    <ds:schemaRef ds:uri="http://schemas.microsoft.com/office/2006/metadata/properties"/>
    <ds:schemaRef ds:uri="http://schemas.microsoft.com/office/infopath/2007/PartnerControls"/>
    <ds:schemaRef ds:uri="9ffaa40c-0d1f-4813-a72a-4b77f450129e"/>
    <ds:schemaRef ds:uri="5284f127-81e9-4fc0-b821-7ee047a2f7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1114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Gordon</dc:creator>
  <cp:keywords>, docId:4A250F23D2D537EEB88870AF94E6A4CC</cp:keywords>
  <dc:description/>
  <cp:lastModifiedBy>Federico Roberto Giannetti</cp:lastModifiedBy>
  <cp:revision>9</cp:revision>
  <dcterms:created xsi:type="dcterms:W3CDTF">2024-12-13T16:33:00Z</dcterms:created>
  <dcterms:modified xsi:type="dcterms:W3CDTF">2024-12-17T15:11:00Z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0x010100E25BA784EBA8FD4BAC7F3900C7EF3CD1</vt:lpwstr>
  </property>
  <property fmtid="{D5CDD505-2E9C-101B-9397-08002B2CF9AE}" pid="3" name="MediaServiceImageTags">
    <vt:lpwstr/>
  </property>
</Properties>
</file>